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5597"/>
          <w:sz w:val="36"/>
        </w:rPr>
        <w:t>SAFETY DATA SHEET (SDS)</w:t>
      </w:r>
    </w:p>
    <w:p>
      <w:pPr>
        <w:jc w:val="center"/>
      </w:pPr>
      <w:r>
        <w:rPr>
          <w:b/>
          <w:sz w:val="26"/>
        </w:rPr>
        <w:t>Waterborne Polyurethane Resin | RU-3340</w:t>
      </w:r>
    </w:p>
    <w:p>
      <w:pPr>
        <w:jc w:val="center"/>
      </w:pPr>
      <w:r>
        <w:rPr>
          <w:b/>
          <w:color w:val="F05A24"/>
          <w:sz w:val="20"/>
        </w:rPr>
        <w:t>ENGLISH REFERENCE TRANSLATION</w:t>
      </w:r>
    </w:p>
    <w:p>
      <w:pPr>
        <w:jc w:val="center"/>
      </w:pPr>
      <w:r>
        <w:rPr>
          <w:i/>
          <w:color w:val="666666"/>
          <w:sz w:val="17"/>
        </w:rPr>
        <w:t>Translated from the Chinese SDS revised 08 Aug 2026. This translation does not constitute a new regulatory assessment. In case of discrepancy, the Chinese original controls.</w:t>
      </w:r>
    </w:p>
    <w:tbl>
      <w:tblPr>
        <w:tblW w:type="auto" w:w="0"/>
        <w:jc w:val="center"/>
        <w:tblLayout w:type="fixed"/>
        <w:tblLook w:firstColumn="1" w:firstRow="1" w:lastColumn="0" w:lastRow="0" w:noHBand="0" w:noVBand="1" w:val="04A0"/>
      </w:tblPr>
      <w:tblGrid>
        <w:gridCol w:w="3456"/>
        <w:gridCol w:w="3456"/>
        <w:gridCol w:w="3456"/>
      </w:tblGrid>
      <w:tr>
        <w:tc>
          <w:tcPr>
            <w:tcW w:type="dxa" w:w="3456"/>
            <w:tcMar>
              <w:top w:w="80" w:type="dxa"/>
              <w:start w:w="100" w:type="dxa"/>
              <w:bottom w:w="80" w:type="dxa"/>
              <w:end w:w="100" w:type="dxa"/>
            </w:tcMar>
            <w:vAlign w:val="center"/>
          </w:tcPr>
          <w:p>
            <w:r>
              <w:rPr>
                <w:sz w:val="17"/>
              </w:rPr>
              <w:t>Standard: GB/T 17519-2013</w:t>
            </w:r>
          </w:p>
        </w:tc>
        <w:tc>
          <w:tcPr>
            <w:tcW w:type="dxa" w:w="3456"/>
            <w:tcMar>
              <w:top w:w="80" w:type="dxa"/>
              <w:start w:w="100" w:type="dxa"/>
              <w:bottom w:w="80" w:type="dxa"/>
              <w:end w:w="100" w:type="dxa"/>
            </w:tcMar>
            <w:vAlign w:val="center"/>
          </w:tcPr>
          <w:p>
            <w:r>
              <w:rPr>
                <w:sz w:val="17"/>
              </w:rPr>
              <w:t>Version: 2.05</w:t>
            </w:r>
          </w:p>
        </w:tc>
        <w:tc>
          <w:tcPr>
            <w:tcW w:type="dxa" w:w="3456"/>
            <w:tcMar>
              <w:top w:w="80" w:type="dxa"/>
              <w:start w:w="100" w:type="dxa"/>
              <w:bottom w:w="80" w:type="dxa"/>
              <w:end w:w="100" w:type="dxa"/>
            </w:tcMar>
            <w:vAlign w:val="center"/>
          </w:tcPr>
          <w:p>
            <w:r>
              <w:rPr>
                <w:sz w:val="17"/>
              </w:rPr>
              <w:t>Compiled: 15 Oct 2008</w:t>
            </w:r>
          </w:p>
        </w:tc>
      </w:tr>
      <w:tr>
        <w:tc>
          <w:tcPr>
            <w:tcW w:type="dxa" w:w="3456"/>
            <w:tcMar>
              <w:top w:w="80" w:type="dxa"/>
              <w:start w:w="100" w:type="dxa"/>
              <w:bottom w:w="80" w:type="dxa"/>
              <w:end w:w="100" w:type="dxa"/>
            </w:tcMar>
            <w:vAlign w:val="center"/>
          </w:tcPr>
          <w:p>
            <w:r>
              <w:rPr>
                <w:sz w:val="17"/>
              </w:rPr>
              <w:t>Revised: 08 Aug 2026</w:t>
            </w:r>
          </w:p>
        </w:tc>
        <w:tc>
          <w:tcPr>
            <w:tcW w:type="dxa" w:w="3456"/>
            <w:tcMar>
              <w:top w:w="80" w:type="dxa"/>
              <w:start w:w="100" w:type="dxa"/>
              <w:bottom w:w="80" w:type="dxa"/>
              <w:end w:w="100" w:type="dxa"/>
            </w:tcMar>
            <w:vAlign w:val="center"/>
          </w:tcPr>
          <w:p>
            <w:r>
              <w:rPr>
                <w:sz w:val="17"/>
              </w:rPr>
              <w:t>Language: English reference translation</w:t>
            </w:r>
          </w:p>
        </w:tc>
        <w:tc>
          <w:tcPr>
            <w:tcW w:type="dxa" w:w="3456"/>
            <w:tcMar>
              <w:top w:w="80" w:type="dxa"/>
              <w:start w:w="100" w:type="dxa"/>
              <w:bottom w:w="80" w:type="dxa"/>
              <w:end w:w="100" w:type="dxa"/>
            </w:tcMar>
            <w:vAlign w:val="center"/>
          </w:tcPr>
          <w:p>
            <w:r>
              <w:rPr>
                <w:sz w:val="17"/>
              </w:rPr>
              <w:t>Source: FAST Chinese SDS</w:t>
            </w:r>
          </w:p>
        </w:tc>
      </w:tr>
    </w:tbl>
    <w:p/>
    <w:p>
      <w:pPr>
        <w:spacing w:before="120" w:after="80"/>
        <w:pBdr>
          <w:bottom w:val="single" w:sz="6" w:space="2" w:color="2F5597"/>
        </w:pBdr>
      </w:pPr>
      <w:r>
        <w:rPr>
          <w:b/>
          <w:color w:val="2F5597"/>
          <w:sz w:val="25"/>
        </w:rPr>
        <w:t>SECTION 1  Chemical Product and Company Identification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Product name</w:t>
            </w:r>
          </w:p>
        </w:tc>
        <w:tc>
          <w:tcPr>
            <w:tcW w:type="dxa" w:w="6696"/>
            <w:tcMar>
              <w:top w:w="80" w:type="dxa"/>
              <w:start w:w="100" w:type="dxa"/>
              <w:bottom w:w="80" w:type="dxa"/>
              <w:end w:w="100" w:type="dxa"/>
            </w:tcMar>
            <w:vAlign w:val="top"/>
          </w:tcPr>
          <w:p>
            <w:pPr>
              <w:spacing w:after="0"/>
            </w:pPr>
            <w:r>
              <w:rPr>
                <w:rFonts w:ascii="Arial" w:hAnsi="Arial"/>
                <w:sz w:val="18"/>
              </w:rPr>
              <w:t>Waterborne Polyurethane Resin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Product code</w:t>
            </w:r>
          </w:p>
        </w:tc>
        <w:tc>
          <w:tcPr>
            <w:tcW w:type="dxa" w:w="6696"/>
            <w:tcMar>
              <w:top w:w="80" w:type="dxa"/>
              <w:start w:w="100" w:type="dxa"/>
              <w:bottom w:w="80" w:type="dxa"/>
              <w:end w:w="100" w:type="dxa"/>
            </w:tcMar>
            <w:vAlign w:val="top"/>
          </w:tcPr>
          <w:p>
            <w:pPr>
              <w:spacing w:after="0"/>
            </w:pPr>
            <w:r>
              <w:rPr>
                <w:rFonts w:ascii="Arial" w:hAnsi="Arial"/>
                <w:sz w:val="18"/>
              </w:rPr>
              <w:t>RU-3340</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Supplier</w:t>
            </w:r>
          </w:p>
        </w:tc>
        <w:tc>
          <w:tcPr>
            <w:tcW w:type="dxa" w:w="6696"/>
            <w:tcMar>
              <w:top w:w="80" w:type="dxa"/>
              <w:start w:w="100" w:type="dxa"/>
              <w:bottom w:w="80" w:type="dxa"/>
              <w:end w:w="100" w:type="dxa"/>
            </w:tcMar>
            <w:vAlign w:val="top"/>
          </w:tcPr>
          <w:p>
            <w:pPr>
              <w:spacing w:after="0"/>
            </w:pPr>
            <w:r>
              <w:rPr>
                <w:rFonts w:ascii="Arial" w:hAnsi="Arial"/>
                <w:sz w:val="18"/>
              </w:rPr>
              <w:t>Shanghai FAST Industrial Co., Ltd.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Address</w:t>
            </w:r>
          </w:p>
        </w:tc>
        <w:tc>
          <w:tcPr>
            <w:tcW w:type="dxa" w:w="6696"/>
            <w:tcMar>
              <w:top w:w="80" w:type="dxa"/>
              <w:start w:w="100" w:type="dxa"/>
              <w:bottom w:w="80" w:type="dxa"/>
              <w:end w:w="100" w:type="dxa"/>
            </w:tcMar>
            <w:vAlign w:val="top"/>
          </w:tcPr>
          <w:p>
            <w:pPr>
              <w:spacing w:after="0"/>
            </w:pPr>
            <w:r>
              <w:rPr>
                <w:rFonts w:ascii="Arial" w:hAnsi="Arial"/>
                <w:sz w:val="18"/>
              </w:rPr>
              <w:t>Room 418, No. 1471 Gumei Road, Minhang District, Shanghai, China</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Telephone</w:t>
            </w:r>
          </w:p>
        </w:tc>
        <w:tc>
          <w:tcPr>
            <w:tcW w:type="dxa" w:w="6696"/>
            <w:tcMar>
              <w:top w:w="80" w:type="dxa"/>
              <w:start w:w="100" w:type="dxa"/>
              <w:bottom w:w="80" w:type="dxa"/>
              <w:end w:w="100" w:type="dxa"/>
            </w:tcMar>
            <w:vAlign w:val="top"/>
          </w:tcPr>
          <w:p>
            <w:pPr>
              <w:spacing w:after="0"/>
            </w:pPr>
            <w:r>
              <w:rPr>
                <w:rFonts w:ascii="Arial" w:hAnsi="Arial"/>
                <w:sz w:val="18"/>
              </w:rPr>
              <w:t>+86-021-34223449</w:t>
            </w:r>
          </w:p>
        </w:tc>
      </w:tr>
      <w:tr>
        <w:tc>
          <w:tcPr>
            <w:tcW w:type="dxa" w:w="2952"/>
            <w:shd w:fill="F2F2F2"/>
            <w:tcMar>
              <w:top w:w="80" w:type="dxa"/>
              <w:start w:w="100" w:type="dxa"/>
              <w:bottom w:w="80" w:type="dxa"/>
              <w:end w:w="100" w:type="dxa"/>
            </w:tcMar>
            <w:vAlign w:val="top"/>
          </w:tcPr>
          <w:p>
            <w:pPr>
              <w:spacing w:after="0"/>
            </w:pPr>
            <w:r>
              <w:rPr>
                <w:rFonts w:ascii="Arial" w:hAnsi="Arial"/>
                <w:b/>
                <w:sz w:val="18"/>
              </w:rPr>
              <w:t>Fax</w:t>
            </w:r>
          </w:p>
        </w:tc>
        <w:tc>
          <w:tcPr>
            <w:tcW w:type="dxa" w:w="6696"/>
            <w:tcMar>
              <w:top w:w="80" w:type="dxa"/>
              <w:start w:w="100" w:type="dxa"/>
              <w:bottom w:w="80" w:type="dxa"/>
              <w:end w:w="100" w:type="dxa"/>
            </w:tcMar>
            <w:vAlign w:val="top"/>
          </w:tcPr>
          <w:p>
            <w:pPr>
              <w:spacing w:after="0"/>
            </w:pPr>
            <w:r>
              <w:rPr>
                <w:rFonts w:ascii="Arial" w:hAnsi="Arial"/>
                <w:sz w:val="18"/>
              </w:rPr>
              <w:t>+86-021-34222147</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Emergency telephone</w:t>
            </w:r>
          </w:p>
        </w:tc>
        <w:tc>
          <w:tcPr>
            <w:tcW w:type="dxa" w:w="6696"/>
            <w:tcMar>
              <w:top w:w="80" w:type="dxa"/>
              <w:start w:w="100" w:type="dxa"/>
              <w:bottom w:w="80" w:type="dxa"/>
              <w:end w:w="100" w:type="dxa"/>
            </w:tcMar>
            <w:vAlign w:val="top"/>
          </w:tcPr>
          <w:p>
            <w:pPr>
              <w:spacing w:after="0"/>
            </w:pPr>
            <w:r>
              <w:rPr>
                <w:rFonts w:ascii="Arial" w:hAnsi="Arial"/>
                <w:sz w:val="18"/>
              </w:rPr>
              <w:t>+86-021-54802120</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Email</w:t>
            </w:r>
          </w:p>
        </w:tc>
        <w:tc>
          <w:tcPr>
            <w:tcW w:type="dxa" w:w="6696"/>
            <w:tcMar>
              <w:top w:w="80" w:type="dxa"/>
              <w:start w:w="100" w:type="dxa"/>
              <w:bottom w:w="80" w:type="dxa"/>
              <w:end w:w="100" w:type="dxa"/>
            </w:tcMar>
            <w:vAlign w:val="top"/>
          </w:tcPr>
          <w:p>
            <w:pPr>
              <w:spacing w:after="0"/>
            </w:pPr>
            <w:r>
              <w:rPr>
                <w:rFonts w:ascii="Arial" w:hAnsi="Arial"/>
                <w:sz w:val="18"/>
              </w:rPr>
              <w:t>fastph@163.com</w:t>
            </w:r>
          </w:p>
        </w:tc>
      </w:tr>
    </w:tbl>
    <w:p>
      <w:pPr>
        <w:spacing w:before="120" w:after="80"/>
        <w:pBdr>
          <w:bottom w:val="single" w:sz="6" w:space="2" w:color="2F5597"/>
        </w:pBdr>
      </w:pPr>
      <w:r>
        <w:rPr>
          <w:b/>
          <w:color w:val="2F5597"/>
          <w:sz w:val="25"/>
        </w:rPr>
        <w:t>SECTION 2  Hazards Identification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Most significant hazard effects</w:t>
            </w:r>
          </w:p>
        </w:tc>
        <w:tc>
          <w:tcPr>
            <w:tcW w:type="dxa" w:w="6696"/>
            <w:tcMar>
              <w:top w:w="80" w:type="dxa"/>
              <w:start w:w="100" w:type="dxa"/>
              <w:bottom w:w="80" w:type="dxa"/>
              <w:end w:w="100" w:type="dxa"/>
            </w:tcMar>
            <w:vAlign w:val="top"/>
          </w:tcPr>
          <w:p>
            <w:pPr>
              <w:spacing w:after="0"/>
            </w:pPr>
            <w:r>
              <w:rPr>
                <w:rFonts w:ascii="Arial" w:hAnsi="Arial"/>
                <w:sz w:val="18"/>
              </w:rPr>
              <w:t>None.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Health hazard effects</w:t>
            </w:r>
          </w:p>
        </w:tc>
        <w:tc>
          <w:tcPr>
            <w:tcW w:type="dxa" w:w="6696"/>
            <w:tcMar>
              <w:top w:w="80" w:type="dxa"/>
              <w:start w:w="100" w:type="dxa"/>
              <w:bottom w:w="80" w:type="dxa"/>
              <w:end w:w="100" w:type="dxa"/>
            </w:tcMar>
            <w:vAlign w:val="top"/>
          </w:tcPr>
          <w:p>
            <w:pPr>
              <w:spacing w:after="0"/>
            </w:pPr>
            <w:r>
              <w:rPr>
                <w:rFonts w:ascii="Arial" w:hAnsi="Arial"/>
                <w:sz w:val="18"/>
              </w:rPr>
              <w:t>No adverse reactions have been recorded.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Environmental impact</w:t>
            </w:r>
          </w:p>
        </w:tc>
        <w:tc>
          <w:tcPr>
            <w:tcW w:type="dxa" w:w="6696"/>
            <w:tcMar>
              <w:top w:w="80" w:type="dxa"/>
              <w:start w:w="100" w:type="dxa"/>
              <w:bottom w:w="80" w:type="dxa"/>
              <w:end w:w="100" w:type="dxa"/>
            </w:tcMar>
            <w:vAlign w:val="top"/>
          </w:tcPr>
          <w:p>
            <w:pPr>
              <w:spacing w:after="0"/>
            </w:pPr>
            <w:r>
              <w:rPr>
                <w:rFonts w:ascii="Arial" w:hAnsi="Arial"/>
                <w:sz w:val="18"/>
              </w:rPr>
              <w:t>Biodegradable; no adverse reactions have been recorded.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Physical and chemical hazards</w:t>
            </w:r>
          </w:p>
        </w:tc>
        <w:tc>
          <w:tcPr>
            <w:tcW w:type="dxa" w:w="6696"/>
            <w:tcMar>
              <w:top w:w="80" w:type="dxa"/>
              <w:start w:w="100" w:type="dxa"/>
              <w:bottom w:w="80" w:type="dxa"/>
              <w:end w:w="100" w:type="dxa"/>
            </w:tcMar>
            <w:vAlign w:val="top"/>
          </w:tcPr>
          <w:p>
            <w:pPr>
              <w:spacing w:after="0"/>
            </w:pPr>
            <w:r>
              <w:rPr>
                <w:rFonts w:ascii="Arial" w:hAnsi="Arial"/>
                <w:sz w:val="18"/>
              </w:rPr>
              <w:t>Excessive contact may cause discomfort; no chemical hazard is produced.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Main symptoms</w:t>
            </w:r>
          </w:p>
        </w:tc>
        <w:tc>
          <w:tcPr>
            <w:tcW w:type="dxa" w:w="6696"/>
            <w:tcMar>
              <w:top w:w="80" w:type="dxa"/>
              <w:start w:w="100" w:type="dxa"/>
              <w:bottom w:w="80" w:type="dxa"/>
              <w:end w:w="100" w:type="dxa"/>
            </w:tcMar>
            <w:vAlign w:val="top"/>
          </w:tcPr>
          <w:p>
            <w:pPr>
              <w:spacing w:after="0"/>
            </w:pPr>
            <w:r>
              <w:rPr>
                <w:rFonts w:ascii="Arial" w:hAnsi="Arial"/>
                <w:sz w:val="18"/>
              </w:rPr>
              <w:t>Inhalation: generally no adverse reaction. Contact: excessive contact may cause discomfort. Eyes: entry into the eyes may cause inflammation. Ingestion: may cause stomach discomfort.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Hazard classification</w:t>
            </w:r>
          </w:p>
        </w:tc>
        <w:tc>
          <w:tcPr>
            <w:tcW w:type="dxa" w:w="6696"/>
            <w:tcMar>
              <w:top w:w="80" w:type="dxa"/>
              <w:start w:w="100" w:type="dxa"/>
              <w:bottom w:w="80" w:type="dxa"/>
              <w:end w:w="100" w:type="dxa"/>
            </w:tcMar>
            <w:vAlign w:val="top"/>
          </w:tcPr>
          <w:p>
            <w:pPr>
              <w:spacing w:after="0"/>
            </w:pPr>
            <w:r>
              <w:rPr>
                <w:rFonts w:ascii="Arial" w:hAnsi="Arial"/>
                <w:sz w:val="18"/>
              </w:rPr>
              <w:t>Treated as a general chemical.</w:t>
            </w:r>
          </w:p>
        </w:tc>
      </w:tr>
    </w:tbl>
    <w:p>
      <w:r>
        <w:br w:type="page"/>
      </w:r>
    </w:p>
    <w:p>
      <w:pPr>
        <w:spacing w:before="120" w:after="80"/>
        <w:pBdr>
          <w:bottom w:val="single" w:sz="6" w:space="2" w:color="2F5597"/>
        </w:pBdr>
      </w:pPr>
      <w:r>
        <w:rPr>
          <w:b/>
          <w:color w:val="2F5597"/>
          <w:sz w:val="25"/>
        </w:rPr>
        <w:t>SECTION 3  Composition / Information on Ingredients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Mixture</w:t>
            </w:r>
          </w:p>
        </w:tc>
        <w:tc>
          <w:tcPr>
            <w:tcW w:type="dxa" w:w="6696"/>
            <w:tcMar>
              <w:top w:w="80" w:type="dxa"/>
              <w:start w:w="100" w:type="dxa"/>
              <w:bottom w:w="80" w:type="dxa"/>
              <w:end w:w="100" w:type="dxa"/>
            </w:tcMar>
            <w:vAlign w:val="top"/>
          </w:tcPr>
          <w:p>
            <w:pPr>
              <w:spacing w:after="0"/>
            </w:pPr>
            <w:r>
              <w:rPr>
                <w:rFonts w:ascii="Arial" w:hAnsi="Arial"/>
                <w:sz w:val="18"/>
              </w:rPr>
              <w:t>Yes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Physical form</w:t>
            </w:r>
          </w:p>
        </w:tc>
        <w:tc>
          <w:tcPr>
            <w:tcW w:type="dxa" w:w="6696"/>
            <w:tcMar>
              <w:top w:w="80" w:type="dxa"/>
              <w:start w:w="100" w:type="dxa"/>
              <w:bottom w:w="80" w:type="dxa"/>
              <w:end w:w="100" w:type="dxa"/>
            </w:tcMar>
            <w:vAlign w:val="top"/>
          </w:tcPr>
          <w:p>
            <w:pPr>
              <w:spacing w:after="0"/>
            </w:pPr>
            <w:r>
              <w:rPr>
                <w:rFonts w:ascii="Arial" w:hAnsi="Arial"/>
                <w:sz w:val="18"/>
              </w:rPr>
              <w:t>Non-foaming emulsion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Primary use</w:t>
            </w:r>
          </w:p>
        </w:tc>
        <w:tc>
          <w:tcPr>
            <w:tcW w:type="dxa" w:w="6696"/>
            <w:tcMar>
              <w:top w:w="80" w:type="dxa"/>
              <w:start w:w="100" w:type="dxa"/>
              <w:bottom w:w="80" w:type="dxa"/>
              <w:end w:w="100" w:type="dxa"/>
            </w:tcMar>
            <w:vAlign w:val="top"/>
          </w:tcPr>
          <w:p>
            <w:pPr>
              <w:spacing w:after="0"/>
            </w:pPr>
            <w:r>
              <w:rPr>
                <w:rFonts w:ascii="Arial" w:hAnsi="Arial"/>
                <w:sz w:val="18"/>
              </w:rPr>
              <w:t>Leather finishing emulsion</w:t>
            </w:r>
          </w:p>
        </w:tc>
      </w:tr>
    </w:tbl>
    <w:tbl>
      <w:tblPr>
        <w:tblStyle w:val="TableGrid"/>
        <w:tblW w:type="auto" w:w="0"/>
        <w:jc w:val="center"/>
        <w:tblLook w:firstColumn="1" w:firstRow="1" w:lastColumn="0" w:lastRow="0" w:noHBand="0" w:noVBand="1" w:val="04A0"/>
      </w:tblPr>
      <w:tblGrid>
        <w:gridCol w:w="3456"/>
        <w:gridCol w:w="3456"/>
        <w:gridCol w:w="3456"/>
      </w:tblGrid>
      <w:tr>
        <w:tc>
          <w:tcPr>
            <w:tcW w:type="dxa" w:w="3456"/>
            <w:shd w:fill="2F5597"/>
          </w:tcPr>
          <w:p>
            <w:r>
              <w:rPr>
                <w:b/>
                <w:color w:val="FFFFFF"/>
                <w:sz w:val="18"/>
              </w:rPr>
              <w:t>Chemical component</w:t>
            </w:r>
          </w:p>
        </w:tc>
        <w:tc>
          <w:tcPr>
            <w:tcW w:type="dxa" w:w="3456"/>
            <w:shd w:fill="2F5597"/>
          </w:tcPr>
          <w:p>
            <w:r>
              <w:rPr>
                <w:b/>
                <w:color w:val="FFFFFF"/>
                <w:sz w:val="18"/>
              </w:rPr>
              <w:t>Percentage</w:t>
            </w:r>
          </w:p>
        </w:tc>
        <w:tc>
          <w:tcPr>
            <w:tcW w:type="dxa" w:w="3456"/>
            <w:shd w:fill="2F5597"/>
          </w:tcPr>
          <w:p>
            <w:r>
              <w:rPr>
                <w:b/>
                <w:color w:val="FFFFFF"/>
                <w:sz w:val="18"/>
              </w:rPr>
              <w:t>CAS No.</w:t>
            </w:r>
          </w:p>
        </w:tc>
      </w:tr>
      <w:tr>
        <w:tc>
          <w:tcPr>
            <w:tcW w:type="dxa" w:w="3456"/>
            <w:tcMar>
              <w:top w:w="80" w:type="dxa"/>
              <w:start w:w="100" w:type="dxa"/>
              <w:bottom w:w="80" w:type="dxa"/>
              <w:end w:w="100" w:type="dxa"/>
            </w:tcMar>
          </w:tcPr>
          <w:p>
            <w:r>
              <w:rPr>
                <w:sz w:val="18"/>
              </w:rPr>
              <w:t>Polyurethane resin</w:t>
            </w:r>
          </w:p>
        </w:tc>
        <w:tc>
          <w:tcPr>
            <w:tcW w:type="dxa" w:w="3456"/>
            <w:tcMar>
              <w:top w:w="80" w:type="dxa"/>
              <w:start w:w="100" w:type="dxa"/>
              <w:bottom w:w="80" w:type="dxa"/>
              <w:end w:w="100" w:type="dxa"/>
            </w:tcMar>
          </w:tcPr>
          <w:p>
            <w:r>
              <w:rPr>
                <w:sz w:val="18"/>
              </w:rPr>
              <w:t>28%-32%</w:t>
            </w:r>
          </w:p>
        </w:tc>
        <w:tc>
          <w:tcPr>
            <w:tcW w:type="dxa" w:w="3456"/>
            <w:tcMar>
              <w:top w:w="80" w:type="dxa"/>
              <w:start w:w="100" w:type="dxa"/>
              <w:bottom w:w="80" w:type="dxa"/>
              <w:end w:w="100" w:type="dxa"/>
            </w:tcMar>
          </w:tcPr>
          <w:p>
            <w:r>
              <w:rPr>
                <w:sz w:val="18"/>
              </w:rPr>
              <w:t>51852-81-4</w:t>
            </w:r>
          </w:p>
        </w:tc>
      </w:tr>
      <w:tr>
        <w:tc>
          <w:tcPr>
            <w:tcW w:type="dxa" w:w="3456"/>
            <w:tcMar>
              <w:top w:w="80" w:type="dxa"/>
              <w:start w:w="100" w:type="dxa"/>
              <w:bottom w:w="80" w:type="dxa"/>
              <w:end w:w="100" w:type="dxa"/>
            </w:tcMar>
          </w:tcPr>
          <w:p>
            <w:r>
              <w:rPr>
                <w:sz w:val="18"/>
              </w:rPr>
              <w:t>H2O</w:t>
            </w:r>
          </w:p>
        </w:tc>
        <w:tc>
          <w:tcPr>
            <w:tcW w:type="dxa" w:w="3456"/>
            <w:tcMar>
              <w:top w:w="80" w:type="dxa"/>
              <w:start w:w="100" w:type="dxa"/>
              <w:bottom w:w="80" w:type="dxa"/>
              <w:end w:w="100" w:type="dxa"/>
            </w:tcMar>
          </w:tcPr>
          <w:p>
            <w:r>
              <w:rPr>
                <w:sz w:val="18"/>
              </w:rPr>
              <w:t>70%-74%</w:t>
            </w:r>
          </w:p>
        </w:tc>
        <w:tc>
          <w:tcPr>
            <w:tcW w:type="dxa" w:w="3456"/>
            <w:tcMar>
              <w:top w:w="80" w:type="dxa"/>
              <w:start w:w="100" w:type="dxa"/>
              <w:bottom w:w="80" w:type="dxa"/>
              <w:end w:w="100" w:type="dxa"/>
            </w:tcMar>
          </w:tcPr>
          <w:p>
            <w:r>
              <w:rPr>
                <w:sz w:val="18"/>
              </w:rPr>
              <w:t>7732-18-5</w:t>
            </w:r>
          </w:p>
        </w:tc>
      </w:tr>
    </w:tbl>
    <w:p>
      <w:pPr>
        <w:spacing w:before="120" w:after="80"/>
        <w:pBdr>
          <w:bottom w:val="single" w:sz="6" w:space="2" w:color="2F5597"/>
        </w:pBdr>
      </w:pPr>
      <w:r>
        <w:rPr>
          <w:b/>
          <w:color w:val="2F5597"/>
          <w:sz w:val="25"/>
        </w:rPr>
        <w:t>SECTION 4  First-Aid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Inhalation</w:t>
            </w:r>
          </w:p>
        </w:tc>
        <w:tc>
          <w:tcPr>
            <w:tcW w:type="dxa" w:w="6696"/>
            <w:tcMar>
              <w:top w:w="80" w:type="dxa"/>
              <w:start w:w="100" w:type="dxa"/>
              <w:bottom w:w="80" w:type="dxa"/>
              <w:end w:w="100" w:type="dxa"/>
            </w:tcMar>
            <w:vAlign w:val="top"/>
          </w:tcPr>
          <w:p>
            <w:pPr>
              <w:spacing w:after="0"/>
            </w:pPr>
            <w:r>
              <w:rPr>
                <w:rFonts w:ascii="Arial" w:hAnsi="Arial"/>
                <w:sz w:val="18"/>
              </w:rPr>
              <w:t>If adverse effects occur, move the patient to fresh air.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Skin contact</w:t>
            </w:r>
          </w:p>
        </w:tc>
        <w:tc>
          <w:tcPr>
            <w:tcW w:type="dxa" w:w="6696"/>
            <w:tcMar>
              <w:top w:w="80" w:type="dxa"/>
              <w:start w:w="100" w:type="dxa"/>
              <w:bottom w:w="80" w:type="dxa"/>
              <w:end w:w="100" w:type="dxa"/>
            </w:tcMar>
            <w:vAlign w:val="top"/>
          </w:tcPr>
          <w:p>
            <w:pPr>
              <w:spacing w:after="0"/>
            </w:pPr>
            <w:r>
              <w:rPr>
                <w:rFonts w:ascii="Arial" w:hAnsi="Arial"/>
                <w:sz w:val="18"/>
              </w:rPr>
              <w:t>Slowly rinse the contaminated area with water. If irritation persists, continue rinsing.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Eye contact</w:t>
            </w:r>
          </w:p>
        </w:tc>
        <w:tc>
          <w:tcPr>
            <w:tcW w:type="dxa" w:w="6696"/>
            <w:tcMar>
              <w:top w:w="80" w:type="dxa"/>
              <w:start w:w="100" w:type="dxa"/>
              <w:bottom w:w="80" w:type="dxa"/>
              <w:end w:w="100" w:type="dxa"/>
            </w:tcMar>
            <w:vAlign w:val="top"/>
          </w:tcPr>
          <w:p>
            <w:pPr>
              <w:spacing w:after="0"/>
            </w:pPr>
            <w:r>
              <w:rPr>
                <w:rFonts w:ascii="Arial" w:hAnsi="Arial"/>
                <w:sz w:val="18"/>
              </w:rPr>
              <w:t>Immediately hold eyelids open and slowly rinse contaminated eyes with running water for at least 15 minutes. Where possible, rinse with normal saline without interruption. If irritation persists, continue rinsing.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Ingestion</w:t>
            </w:r>
          </w:p>
        </w:tc>
        <w:tc>
          <w:tcPr>
            <w:tcW w:type="dxa" w:w="6696"/>
            <w:tcMar>
              <w:top w:w="80" w:type="dxa"/>
              <w:start w:w="100" w:type="dxa"/>
              <w:bottom w:w="80" w:type="dxa"/>
              <w:end w:w="100" w:type="dxa"/>
            </w:tcMar>
            <w:vAlign w:val="top"/>
          </w:tcPr>
          <w:p>
            <w:pPr>
              <w:spacing w:after="0"/>
            </w:pPr>
            <w:r>
              <w:rPr>
                <w:rFonts w:ascii="Arial" w:hAnsi="Arial"/>
                <w:sz w:val="18"/>
              </w:rPr>
              <w:t>If the patient is losing consciousness or is unconscious, do not give anything by mouth. If conscious, rinse the mouth thoroughly with water. Give plenty of water to dilute the chemical in the stomach. If milk is available, it may be given after water. If spontaneous vomiting occurs, lean the patient forward to reduce aspiration risk, rinse the mouth, and continue giving water.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Most important symptoms / hazardous effects</w:t>
            </w:r>
          </w:p>
        </w:tc>
        <w:tc>
          <w:tcPr>
            <w:tcW w:type="dxa" w:w="6696"/>
            <w:tcMar>
              <w:top w:w="80" w:type="dxa"/>
              <w:start w:w="100" w:type="dxa"/>
              <w:bottom w:w="80" w:type="dxa"/>
              <w:end w:w="100" w:type="dxa"/>
            </w:tcMar>
            <w:vAlign w:val="top"/>
          </w:tcPr>
          <w:p>
            <w:pPr>
              <w:spacing w:after="0"/>
            </w:pPr>
            <w:r>
              <w:rPr>
                <w:rFonts w:ascii="Arial" w:hAnsi="Arial"/>
                <w:sz w:val="18"/>
              </w:rPr>
              <w:t>Harmful if swallowed.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If discomfort occurs</w:t>
            </w:r>
          </w:p>
        </w:tc>
        <w:tc>
          <w:tcPr>
            <w:tcW w:type="dxa" w:w="6696"/>
            <w:tcMar>
              <w:top w:w="80" w:type="dxa"/>
              <w:start w:w="100" w:type="dxa"/>
              <w:bottom w:w="80" w:type="dxa"/>
              <w:end w:w="100" w:type="dxa"/>
            </w:tcMar>
            <w:vAlign w:val="top"/>
          </w:tcPr>
          <w:p>
            <w:pPr>
              <w:spacing w:after="0"/>
            </w:pPr>
            <w:r>
              <w:rPr>
                <w:rFonts w:ascii="Arial" w:hAnsi="Arial"/>
                <w:sz w:val="18"/>
              </w:rPr>
              <w:t>Seek medical attention immediately.</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Protection of first-aid personnel</w:t>
            </w:r>
          </w:p>
        </w:tc>
        <w:tc>
          <w:tcPr>
            <w:tcW w:type="dxa" w:w="6696"/>
            <w:tcMar>
              <w:top w:w="80" w:type="dxa"/>
              <w:start w:w="100" w:type="dxa"/>
              <w:bottom w:w="80" w:type="dxa"/>
              <w:end w:w="100" w:type="dxa"/>
            </w:tcMar>
            <w:vAlign w:val="top"/>
          </w:tcPr>
          <w:p>
            <w:pPr>
              <w:spacing w:after="0"/>
            </w:pPr>
            <w:r>
              <w:rPr>
                <w:rFonts w:ascii="Arial" w:hAnsi="Arial"/>
                <w:sz w:val="18"/>
              </w:rPr>
              <w:t>Not important.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Advice to physician</w:t>
            </w:r>
          </w:p>
        </w:tc>
        <w:tc>
          <w:tcPr>
            <w:tcW w:type="dxa" w:w="6696"/>
            <w:tcMar>
              <w:top w:w="80" w:type="dxa"/>
              <w:start w:w="100" w:type="dxa"/>
              <w:bottom w:w="80" w:type="dxa"/>
              <w:end w:w="100" w:type="dxa"/>
            </w:tcMar>
            <w:vAlign w:val="top"/>
          </w:tcPr>
          <w:p>
            <w:pPr>
              <w:spacing w:after="0"/>
            </w:pPr>
            <w:r>
              <w:rPr>
                <w:rFonts w:ascii="Arial" w:hAnsi="Arial"/>
                <w:sz w:val="18"/>
              </w:rPr>
              <w:t>Take appropriate medical measures.</w:t>
            </w:r>
          </w:p>
        </w:tc>
      </w:tr>
    </w:tbl>
    <w:p>
      <w:r>
        <w:br w:type="page"/>
      </w:r>
    </w:p>
    <w:p>
      <w:pPr>
        <w:spacing w:before="120" w:after="80"/>
        <w:pBdr>
          <w:bottom w:val="single" w:sz="6" w:space="2" w:color="2F5597"/>
        </w:pBdr>
      </w:pPr>
      <w:r>
        <w:rPr>
          <w:b/>
          <w:color w:val="2F5597"/>
          <w:sz w:val="25"/>
        </w:rPr>
        <w:t>SECTION 5  Fire-Fighting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Suitable extinguishing media</w:t>
            </w:r>
          </w:p>
        </w:tc>
        <w:tc>
          <w:tcPr>
            <w:tcW w:type="dxa" w:w="6696"/>
            <w:tcMar>
              <w:top w:w="80" w:type="dxa"/>
              <w:start w:w="100" w:type="dxa"/>
              <w:bottom w:w="80" w:type="dxa"/>
              <w:end w:w="100" w:type="dxa"/>
            </w:tcMar>
            <w:vAlign w:val="top"/>
          </w:tcPr>
          <w:p>
            <w:pPr>
              <w:spacing w:after="0"/>
            </w:pPr>
            <w:r>
              <w:rPr>
                <w:rFonts w:ascii="Arial" w:hAnsi="Arial"/>
                <w:sz w:val="18"/>
              </w:rPr>
              <w:t>Dry chemical powder, carbon dioxide, water fog, foam. For large fires, foam or water fog spray is recommended.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fire-fighting procedures</w:t>
            </w:r>
          </w:p>
        </w:tc>
        <w:tc>
          <w:tcPr>
            <w:tcW w:type="dxa" w:w="6696"/>
            <w:tcMar>
              <w:top w:w="80" w:type="dxa"/>
              <w:start w:w="100" w:type="dxa"/>
              <w:bottom w:w="80" w:type="dxa"/>
              <w:end w:w="100" w:type="dxa"/>
            </w:tcMar>
            <w:vAlign w:val="top"/>
          </w:tcPr>
          <w:p>
            <w:pPr>
              <w:spacing w:after="0"/>
            </w:pPr>
            <w:r>
              <w:rPr>
                <w:rFonts w:ascii="Arial" w:hAnsi="Arial"/>
                <w:sz w:val="18"/>
              </w:rPr>
              <w:t>If safe to do so, move containers away from the fire to avoid possible rupture or explosion. Spray water to cool tanks or containers exposed to fire. Isolate unignited materials and protect personnel. Apply large quantities of water fog. Personnel without protective equipment must not enter.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protective equipment for firefighters</w:t>
            </w:r>
          </w:p>
        </w:tc>
        <w:tc>
          <w:tcPr>
            <w:tcW w:type="dxa" w:w="6696"/>
            <w:tcMar>
              <w:top w:w="80" w:type="dxa"/>
              <w:start w:w="100" w:type="dxa"/>
              <w:bottom w:w="80" w:type="dxa"/>
              <w:end w:w="100" w:type="dxa"/>
            </w:tcMar>
            <w:vAlign w:val="top"/>
          </w:tcPr>
          <w:p>
            <w:pPr>
              <w:spacing w:after="0"/>
            </w:pPr>
            <w:r>
              <w:rPr>
                <w:rFonts w:ascii="Arial" w:hAnsi="Arial"/>
                <w:sz w:val="18"/>
              </w:rPr>
              <w:t>Firefighters must wear self-contained breathing apparatus, protective firefighting clothing, and protective gloves.</w:t>
            </w:r>
          </w:p>
        </w:tc>
      </w:tr>
    </w:tbl>
    <w:p>
      <w:pPr>
        <w:spacing w:before="120" w:after="80"/>
        <w:pBdr>
          <w:bottom w:val="single" w:sz="6" w:space="2" w:color="2F5597"/>
        </w:pBdr>
      </w:pPr>
      <w:r>
        <w:rPr>
          <w:b/>
          <w:color w:val="2F5597"/>
          <w:sz w:val="25"/>
        </w:rPr>
        <w:t>SECTION 6  Accidental Release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Personal precautions</w:t>
            </w:r>
          </w:p>
        </w:tc>
        <w:tc>
          <w:tcPr>
            <w:tcW w:type="dxa" w:w="6696"/>
            <w:tcMar>
              <w:top w:w="80" w:type="dxa"/>
              <w:start w:w="100" w:type="dxa"/>
              <w:bottom w:w="80" w:type="dxa"/>
              <w:end w:w="100" w:type="dxa"/>
            </w:tcMar>
            <w:vAlign w:val="top"/>
          </w:tcPr>
          <w:p>
            <w:pPr>
              <w:spacing w:after="0"/>
            </w:pPr>
            <w:r>
              <w:rPr>
                <w:rFonts w:ascii="Arial" w:hAnsi="Arial"/>
                <w:sz w:val="18"/>
              </w:rPr>
              <w:t>Safety glasses and rubber gloves are recommended. Isolate the hazardous area and keep unrelated personnel out until the spill area has been completely cleaned.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Cleanup methods</w:t>
            </w:r>
          </w:p>
        </w:tc>
        <w:tc>
          <w:tcPr>
            <w:tcW w:type="dxa" w:w="6696"/>
            <w:tcMar>
              <w:top w:w="80" w:type="dxa"/>
              <w:start w:w="100" w:type="dxa"/>
              <w:bottom w:w="80" w:type="dxa"/>
              <w:end w:w="100" w:type="dxa"/>
            </w:tcMar>
            <w:vAlign w:val="top"/>
          </w:tcPr>
          <w:p>
            <w:pPr>
              <w:spacing w:after="0"/>
            </w:pPr>
            <w:r>
              <w:rPr>
                <w:rFonts w:ascii="Arial" w:hAnsi="Arial"/>
                <w:sz w:val="18"/>
              </w:rPr>
              <w:t>Do not touch spilled material and prevent it from entering drains. Keep the spill area ventilated. Small spill: absorb with sand or other non-combustible material and place the absorbed material in a suitable container for waste disposal. Large spill: contain with dikes and dispose of as waste.</w:t>
            </w:r>
          </w:p>
        </w:tc>
      </w:tr>
    </w:tbl>
    <w:p>
      <w:r>
        <w:br w:type="page"/>
      </w:r>
    </w:p>
    <w:p>
      <w:pPr>
        <w:spacing w:before="120" w:after="80"/>
        <w:pBdr>
          <w:bottom w:val="single" w:sz="6" w:space="2" w:color="2F5597"/>
        </w:pBdr>
      </w:pPr>
      <w:r>
        <w:rPr>
          <w:b/>
          <w:color w:val="2F5597"/>
          <w:sz w:val="25"/>
        </w:rPr>
        <w:t>SECTION 7  Handling and Storage</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Safe handling</w:t>
            </w:r>
          </w:p>
        </w:tc>
        <w:tc>
          <w:tcPr>
            <w:tcW w:type="dxa" w:w="6696"/>
            <w:tcMar>
              <w:top w:w="80" w:type="dxa"/>
              <w:start w:w="100" w:type="dxa"/>
              <w:bottom w:w="80" w:type="dxa"/>
              <w:end w:w="100" w:type="dxa"/>
            </w:tcMar>
            <w:vAlign w:val="top"/>
          </w:tcPr>
          <w:p>
            <w:pPr>
              <w:spacing w:after="0"/>
            </w:pPr>
            <w:r>
              <w:rPr>
                <w:rFonts w:ascii="Arial" w:hAnsi="Arial"/>
                <w:sz w:val="18"/>
              </w:rPr>
              <w:t>Use suitable protective clothing. Workers should wash hands and face before eating, drinking, or smoking. Avoid contact with eyes or skin.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Storage</w:t>
            </w:r>
          </w:p>
        </w:tc>
        <w:tc>
          <w:tcPr>
            <w:tcW w:type="dxa" w:w="6696"/>
            <w:tcMar>
              <w:top w:w="80" w:type="dxa"/>
              <w:start w:w="100" w:type="dxa"/>
              <w:bottom w:w="80" w:type="dxa"/>
              <w:end w:w="100" w:type="dxa"/>
            </w:tcMar>
            <w:vAlign w:val="top"/>
          </w:tcPr>
          <w:p>
            <w:pPr>
              <w:spacing w:after="0"/>
            </w:pPr>
            <w:r>
              <w:rPr>
                <w:rFonts w:ascii="Arial" w:hAnsi="Arial"/>
                <w:sz w:val="18"/>
              </w:rPr>
              <w:t>Store in the original container, protected from sunlight, in a dry, cool, and well-ventilated place. Recommended storage temperature: 5°C-40°C. Keep the container tightly closed and sealed. Do not store in unlabeled containers. Store in the original container or another approved container made of compatible material; keep sealed when not in use to extend usable storage time.</w:t>
            </w:r>
          </w:p>
        </w:tc>
      </w:tr>
    </w:tbl>
    <w:p>
      <w:pPr>
        <w:spacing w:before="120" w:after="80"/>
        <w:pBdr>
          <w:bottom w:val="single" w:sz="6" w:space="2" w:color="2F5597"/>
        </w:pBdr>
      </w:pPr>
      <w:r>
        <w:rPr>
          <w:b/>
          <w:color w:val="2F5597"/>
          <w:sz w:val="25"/>
        </w:rPr>
        <w:t>SECTION 8  Exposure Controls / Personal Protection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Occupational exposure control</w:t>
            </w:r>
          </w:p>
        </w:tc>
        <w:tc>
          <w:tcPr>
            <w:tcW w:type="dxa" w:w="6696"/>
            <w:tcMar>
              <w:top w:w="80" w:type="dxa"/>
              <w:start w:w="100" w:type="dxa"/>
              <w:bottom w:w="80" w:type="dxa"/>
              <w:end w:w="100" w:type="dxa"/>
            </w:tcMar>
            <w:vAlign w:val="top"/>
          </w:tcPr>
          <w:p>
            <w:pPr>
              <w:spacing w:after="0"/>
            </w:pPr>
            <w:r>
              <w:rPr>
                <w:rFonts w:ascii="Arial" w:hAnsi="Arial"/>
                <w:sz w:val="18"/>
              </w:rPr>
              <w:t>No special ventilation requirements. Use engineering controls consistent with good industrial hygiene and safety practice. Wash hands frequently after work or during breaks.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Eye protection</w:t>
            </w:r>
          </w:p>
        </w:tc>
        <w:tc>
          <w:tcPr>
            <w:tcW w:type="dxa" w:w="6696"/>
            <w:tcMar>
              <w:top w:w="80" w:type="dxa"/>
              <w:start w:w="100" w:type="dxa"/>
              <w:bottom w:w="80" w:type="dxa"/>
              <w:end w:w="100" w:type="dxa"/>
            </w:tcMar>
            <w:vAlign w:val="top"/>
          </w:tcPr>
          <w:p>
            <w:pPr>
              <w:spacing w:after="0"/>
            </w:pPr>
            <w:r>
              <w:rPr>
                <w:rFonts w:ascii="Arial" w:hAnsi="Arial"/>
                <w:sz w:val="18"/>
              </w:rPr>
              <w:t>If splashing or eye contact may occur, safety goggles or a face shield are recommended.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Hand protection</w:t>
            </w:r>
          </w:p>
        </w:tc>
        <w:tc>
          <w:tcPr>
            <w:tcW w:type="dxa" w:w="6696"/>
            <w:tcMar>
              <w:top w:w="80" w:type="dxa"/>
              <w:start w:w="100" w:type="dxa"/>
              <w:bottom w:w="80" w:type="dxa"/>
              <w:end w:w="100" w:type="dxa"/>
            </w:tcMar>
            <w:vAlign w:val="top"/>
          </w:tcPr>
          <w:p>
            <w:pPr>
              <w:spacing w:after="0"/>
            </w:pPr>
            <w:r>
              <w:rPr>
                <w:rFonts w:ascii="Arial" w:hAnsi="Arial"/>
                <w:sz w:val="18"/>
              </w:rPr>
              <w:t>In accordance with good industrial practice, rubber gloves are recommended. Wash hands immediately after contact.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Respiratory protection</w:t>
            </w:r>
          </w:p>
        </w:tc>
        <w:tc>
          <w:tcPr>
            <w:tcW w:type="dxa" w:w="6696"/>
            <w:tcMar>
              <w:top w:w="80" w:type="dxa"/>
              <w:start w:w="100" w:type="dxa"/>
              <w:bottom w:w="80" w:type="dxa"/>
              <w:end w:w="100" w:type="dxa"/>
            </w:tcMar>
            <w:vAlign w:val="top"/>
          </w:tcPr>
          <w:p>
            <w:pPr>
              <w:spacing w:after="0"/>
            </w:pPr>
            <w:r>
              <w:rPr>
                <w:rFonts w:ascii="Arial" w:hAnsi="Arial"/>
                <w:sz w:val="18"/>
              </w:rPr>
              <w:t>Operators should wear a dust mask. If airborne concentration is high and odor protection is required, use a suitable compliant enclosed air-filtering respirator. Filter selection must be based on known or anticipated exposure limits, product hazards, and the safe working limits of the selected respirator.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Body protection</w:t>
            </w:r>
          </w:p>
        </w:tc>
        <w:tc>
          <w:tcPr>
            <w:tcW w:type="dxa" w:w="6696"/>
            <w:tcMar>
              <w:top w:w="80" w:type="dxa"/>
              <w:start w:w="100" w:type="dxa"/>
              <w:bottom w:w="80" w:type="dxa"/>
              <w:end w:w="100" w:type="dxa"/>
            </w:tcMar>
            <w:vAlign w:val="top"/>
          </w:tcPr>
          <w:p>
            <w:pPr>
              <w:spacing w:after="0"/>
            </w:pPr>
            <w:r>
              <w:rPr>
                <w:rFonts w:ascii="Arial" w:hAnsi="Arial"/>
                <w:sz w:val="18"/>
              </w:rPr>
              <w:t>Wear ordinary work clothing. Wash immediately after skin contact.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Hygiene measures</w:t>
            </w:r>
          </w:p>
        </w:tc>
        <w:tc>
          <w:tcPr>
            <w:tcW w:type="dxa" w:w="6696"/>
            <w:tcMar>
              <w:top w:w="80" w:type="dxa"/>
              <w:start w:w="100" w:type="dxa"/>
              <w:bottom w:w="80" w:type="dxa"/>
              <w:end w:w="100" w:type="dxa"/>
            </w:tcMar>
            <w:vAlign w:val="top"/>
          </w:tcPr>
          <w:p>
            <w:pPr>
              <w:spacing w:after="0"/>
            </w:pPr>
            <w:r>
              <w:rPr>
                <w:rFonts w:ascii="Arial" w:hAnsi="Arial"/>
                <w:sz w:val="18"/>
              </w:rPr>
              <w:t>Avoid eye contact. Wash hands before breaks and immediately after handling the product. Contaminated work clothing should be washed before reuse. Ensure emergency eyewash and safety shower facilities are located near the work area.</w:t>
            </w:r>
          </w:p>
        </w:tc>
      </w:tr>
    </w:tbl>
    <w:p>
      <w:r>
        <w:br w:type="page"/>
      </w:r>
    </w:p>
    <w:p>
      <w:pPr>
        <w:spacing w:before="120" w:after="80"/>
        <w:pBdr>
          <w:bottom w:val="single" w:sz="6" w:space="2" w:color="2F5597"/>
        </w:pBdr>
      </w:pPr>
      <w:r>
        <w:rPr>
          <w:b/>
          <w:color w:val="2F5597"/>
          <w:sz w:val="25"/>
        </w:rPr>
        <w:t>SECTION 9  Physical and Chemical Properties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Physical state</w:t>
            </w:r>
          </w:p>
        </w:tc>
        <w:tc>
          <w:tcPr>
            <w:tcW w:type="dxa" w:w="6696"/>
            <w:tcMar>
              <w:top w:w="80" w:type="dxa"/>
              <w:start w:w="100" w:type="dxa"/>
              <w:bottom w:w="80" w:type="dxa"/>
              <w:end w:w="100" w:type="dxa"/>
            </w:tcMar>
            <w:vAlign w:val="top"/>
          </w:tcPr>
          <w:p>
            <w:pPr>
              <w:spacing w:after="0"/>
            </w:pPr>
            <w:r>
              <w:rPr>
                <w:rFonts w:ascii="Arial" w:hAnsi="Arial"/>
                <w:sz w:val="18"/>
              </w:rPr>
              <w:t>Liquid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w:t>
            </w:r>
          </w:p>
        </w:tc>
        <w:tc>
          <w:tcPr>
            <w:tcW w:type="dxa" w:w="6696"/>
            <w:tcMar>
              <w:top w:w="80" w:type="dxa"/>
              <w:start w:w="100" w:type="dxa"/>
              <w:bottom w:w="80" w:type="dxa"/>
              <w:end w:w="100" w:type="dxa"/>
            </w:tcMar>
            <w:vAlign w:val="top"/>
          </w:tcPr>
          <w:p>
            <w:pPr>
              <w:spacing w:after="0"/>
            </w:pPr>
            <w:r>
              <w:rPr>
                <w:rFonts w:ascii="Arial" w:hAnsi="Arial"/>
                <w:sz w:val="18"/>
              </w:rPr>
              <w:t>7.0-9.5</w:t>
            </w:r>
          </w:p>
        </w:tc>
      </w:tr>
      <w:tr>
        <w:tc>
          <w:tcPr>
            <w:tcW w:type="dxa" w:w="2952"/>
            <w:shd w:fill="F2F2F2"/>
            <w:tcMar>
              <w:top w:w="80" w:type="dxa"/>
              <w:start w:w="100" w:type="dxa"/>
              <w:bottom w:w="80" w:type="dxa"/>
              <w:end w:w="100" w:type="dxa"/>
            </w:tcMar>
            <w:vAlign w:val="top"/>
          </w:tcPr>
          <w:p>
            <w:pPr>
              <w:spacing w:after="0"/>
            </w:pPr>
            <w:r>
              <w:rPr>
                <w:rFonts w:ascii="Arial" w:hAnsi="Arial"/>
                <w:b/>
                <w:sz w:val="18"/>
              </w:rPr>
              <w:t>Odor</w:t>
            </w:r>
          </w:p>
        </w:tc>
        <w:tc>
          <w:tcPr>
            <w:tcW w:type="dxa" w:w="6696"/>
            <w:tcMar>
              <w:top w:w="80" w:type="dxa"/>
              <w:start w:w="100" w:type="dxa"/>
              <w:bottom w:w="80" w:type="dxa"/>
              <w:end w:w="100" w:type="dxa"/>
            </w:tcMar>
            <w:vAlign w:val="top"/>
          </w:tcPr>
          <w:p>
            <w:pPr>
              <w:spacing w:after="0"/>
            </w:pPr>
            <w:r>
              <w:rPr>
                <w:rFonts w:ascii="Arial" w:hAnsi="Arial"/>
                <w:sz w:val="18"/>
              </w:rPr>
              <w:t>Very low odor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Test method</w:t>
            </w:r>
          </w:p>
        </w:tc>
        <w:tc>
          <w:tcPr>
            <w:tcW w:type="dxa" w:w="6696"/>
            <w:tcMar>
              <w:top w:w="80" w:type="dxa"/>
              <w:start w:w="100" w:type="dxa"/>
              <w:bottom w:w="80" w:type="dxa"/>
              <w:end w:w="100" w:type="dxa"/>
            </w:tcMar>
            <w:vAlign w:val="top"/>
          </w:tcPr>
          <w:p>
            <w:pPr>
              <w:spacing w:after="0"/>
            </w:pPr>
            <w:r>
              <w:rPr>
                <w:rFonts w:ascii="Arial" w:hAnsi="Arial"/>
                <w:sz w:val="18"/>
              </w:rPr>
              <w:t>Open cup: not checked; Closed cup: checked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Boiling point / range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Flammability (solid, gas)</w:t>
            </w:r>
          </w:p>
        </w:tc>
        <w:tc>
          <w:tcPr>
            <w:tcW w:type="dxa" w:w="6696"/>
            <w:tcMar>
              <w:top w:w="80" w:type="dxa"/>
              <w:start w:w="100" w:type="dxa"/>
              <w:bottom w:w="80" w:type="dxa"/>
              <w:end w:w="100" w:type="dxa"/>
            </w:tcMar>
            <w:vAlign w:val="top"/>
          </w:tcPr>
          <w:p>
            <w:pPr>
              <w:spacing w:after="0"/>
            </w:pPr>
            <w:r>
              <w:rPr>
                <w:rFonts w:ascii="Arial" w:hAnsi="Arial"/>
                <w:sz w:val="18"/>
              </w:rPr>
              <w:t>Nonflammable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Decomposition temperature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Explosion limits</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Evaporation rate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Solubility</w:t>
            </w:r>
          </w:p>
        </w:tc>
        <w:tc>
          <w:tcPr>
            <w:tcW w:type="dxa" w:w="6696"/>
            <w:tcMar>
              <w:top w:w="80" w:type="dxa"/>
              <w:start w:w="100" w:type="dxa"/>
              <w:bottom w:w="80" w:type="dxa"/>
              <w:end w:w="100" w:type="dxa"/>
            </w:tcMar>
            <w:vAlign w:val="top"/>
          </w:tcPr>
          <w:p>
            <w:pPr>
              <w:spacing w:after="0"/>
            </w:pPr>
            <w:r>
              <w:rPr>
                <w:rFonts w:ascii="Arial" w:hAnsi="Arial"/>
                <w:sz w:val="18"/>
              </w:rPr>
              <w:t>Soluble in water</w:t>
            </w:r>
          </w:p>
        </w:tc>
      </w:tr>
    </w:tbl>
    <w:p>
      <w:pPr>
        <w:spacing w:before="120" w:after="80"/>
        <w:pBdr>
          <w:bottom w:val="single" w:sz="6" w:space="2" w:color="2F5597"/>
        </w:pBdr>
      </w:pPr>
      <w:r>
        <w:rPr>
          <w:b/>
          <w:color w:val="2F5597"/>
          <w:sz w:val="25"/>
        </w:rPr>
        <w:t>SECTION 10  Stability and Reactivity</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Stability</w:t>
            </w:r>
          </w:p>
        </w:tc>
        <w:tc>
          <w:tcPr>
            <w:tcW w:type="dxa" w:w="6696"/>
            <w:tcMar>
              <w:top w:w="80" w:type="dxa"/>
              <w:start w:w="100" w:type="dxa"/>
              <w:bottom w:w="80" w:type="dxa"/>
              <w:end w:w="100" w:type="dxa"/>
            </w:tcMar>
            <w:vAlign w:val="top"/>
          </w:tcPr>
          <w:p>
            <w:pPr>
              <w:spacing w:after="0"/>
            </w:pPr>
            <w:r>
              <w:rPr>
                <w:rFonts w:ascii="Arial" w:hAnsi="Arial"/>
                <w:sz w:val="18"/>
              </w:rPr>
              <w:t>Product is stable.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Incompatible materials</w:t>
            </w:r>
          </w:p>
        </w:tc>
        <w:tc>
          <w:tcPr>
            <w:tcW w:type="dxa" w:w="6696"/>
            <w:tcMar>
              <w:top w:w="80" w:type="dxa"/>
              <w:start w:w="100" w:type="dxa"/>
              <w:bottom w:w="80" w:type="dxa"/>
              <w:end w:w="100" w:type="dxa"/>
            </w:tcMar>
            <w:vAlign w:val="top"/>
          </w:tcPr>
          <w:p>
            <w:pPr>
              <w:spacing w:after="0"/>
            </w:pPr>
            <w:r>
              <w:rPr>
                <w:rFonts w:ascii="Arial" w:hAnsi="Arial"/>
                <w:sz w:val="18"/>
              </w:rPr>
              <w:t>Do not use together with oil-based products or other incompatible materials.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Conditions to avoid</w:t>
            </w:r>
          </w:p>
        </w:tc>
        <w:tc>
          <w:tcPr>
            <w:tcW w:type="dxa" w:w="6696"/>
            <w:tcMar>
              <w:top w:w="80" w:type="dxa"/>
              <w:start w:w="100" w:type="dxa"/>
              <w:bottom w:w="80" w:type="dxa"/>
              <w:end w:w="100" w:type="dxa"/>
            </w:tcMar>
            <w:vAlign w:val="top"/>
          </w:tcPr>
          <w:p>
            <w:pPr>
              <w:spacing w:after="0"/>
            </w:pPr>
            <w:r>
              <w:rPr>
                <w:rFonts w:ascii="Arial" w:hAnsi="Arial"/>
                <w:sz w:val="18"/>
              </w:rPr>
              <w:t>Extreme temperatures.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Hazardous polymerization</w:t>
            </w:r>
          </w:p>
        </w:tc>
        <w:tc>
          <w:tcPr>
            <w:tcW w:type="dxa" w:w="6696"/>
            <w:tcMar>
              <w:top w:w="80" w:type="dxa"/>
              <w:start w:w="100" w:type="dxa"/>
              <w:bottom w:w="80" w:type="dxa"/>
              <w:end w:w="100" w:type="dxa"/>
            </w:tcMar>
            <w:vAlign w:val="top"/>
          </w:tcPr>
          <w:p>
            <w:pPr>
              <w:spacing w:after="0"/>
            </w:pPr>
            <w:r>
              <w:rPr>
                <w:rFonts w:ascii="Arial" w:hAnsi="Arial"/>
                <w:sz w:val="18"/>
              </w:rPr>
              <w:t>Will not occur.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Decomposition products</w:t>
            </w:r>
          </w:p>
        </w:tc>
        <w:tc>
          <w:tcPr>
            <w:tcW w:type="dxa" w:w="6696"/>
            <w:tcMar>
              <w:top w:w="80" w:type="dxa"/>
              <w:start w:w="100" w:type="dxa"/>
              <w:bottom w:w="80" w:type="dxa"/>
              <w:end w:w="100" w:type="dxa"/>
            </w:tcMar>
            <w:vAlign w:val="top"/>
          </w:tcPr>
          <w:p>
            <w:pPr>
              <w:spacing w:after="0"/>
            </w:pPr>
            <w:r>
              <w:rPr>
                <w:rFonts w:ascii="Arial" w:hAnsi="Arial"/>
                <w:sz w:val="18"/>
              </w:rPr>
              <w:t>No hazardous decomposition products under correct storage and handling conditions.</w:t>
            </w:r>
          </w:p>
        </w:tc>
      </w:tr>
    </w:tbl>
    <w:p>
      <w:pPr>
        <w:spacing w:before="120" w:after="80"/>
        <w:pBdr>
          <w:bottom w:val="single" w:sz="6" w:space="2" w:color="2F5597"/>
        </w:pBdr>
      </w:pPr>
      <w:r>
        <w:rPr>
          <w:b/>
          <w:color w:val="2F5597"/>
          <w:sz w:val="25"/>
        </w:rPr>
        <w:t>SECTION 11  Toxicological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Toxicological information</w:t>
            </w:r>
          </w:p>
        </w:tc>
        <w:tc>
          <w:tcPr>
            <w:tcW w:type="dxa" w:w="6696"/>
            <w:tcMar>
              <w:top w:w="80" w:type="dxa"/>
              <w:start w:w="100" w:type="dxa"/>
              <w:bottom w:w="80" w:type="dxa"/>
              <w:end w:w="100" w:type="dxa"/>
            </w:tcMar>
            <w:vAlign w:val="top"/>
          </w:tcPr>
          <w:p>
            <w:pPr>
              <w:spacing w:after="0"/>
            </w:pPr>
            <w:r>
              <w:rPr>
                <w:rFonts w:ascii="Arial" w:hAnsi="Arial"/>
                <w:sz w:val="18"/>
              </w:rPr>
              <w:t>This product does not yet have experimental data, but it has been evaluated under the Preparations Directive and classified for toxic hazards. Refer in detail to Section 3, including relevant hazard and safety statements.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Acute toxicity</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Irritation</w:t>
            </w:r>
          </w:p>
        </w:tc>
        <w:tc>
          <w:tcPr>
            <w:tcW w:type="dxa" w:w="6696"/>
            <w:tcMar>
              <w:top w:w="80" w:type="dxa"/>
              <w:start w:w="100" w:type="dxa"/>
              <w:bottom w:w="80" w:type="dxa"/>
              <w:end w:w="100" w:type="dxa"/>
            </w:tcMar>
            <w:vAlign w:val="top"/>
          </w:tcPr>
          <w:p>
            <w:pPr>
              <w:spacing w:after="0"/>
            </w:pPr>
            <w:r>
              <w:rPr>
                <w:rFonts w:ascii="Arial" w:hAnsi="Arial"/>
                <w:sz w:val="18"/>
              </w:rPr>
              <w:t>-</w:t>
            </w:r>
          </w:p>
        </w:tc>
      </w:tr>
    </w:tbl>
    <w:p>
      <w:r>
        <w:br w:type="page"/>
      </w:r>
    </w:p>
    <w:p>
      <w:pPr>
        <w:spacing w:before="120" w:after="80"/>
        <w:pBdr>
          <w:bottom w:val="single" w:sz="6" w:space="2" w:color="2F5597"/>
        </w:pBdr>
      </w:pPr>
      <w:r>
        <w:rPr>
          <w:b/>
          <w:color w:val="2F5597"/>
          <w:sz w:val="25"/>
        </w:rPr>
        <w:t>SECTION 12  Ecological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Environmental impact</w:t>
            </w:r>
          </w:p>
        </w:tc>
        <w:tc>
          <w:tcPr>
            <w:tcW w:type="dxa" w:w="6696"/>
            <w:tcMar>
              <w:top w:w="80" w:type="dxa"/>
              <w:start w:w="100" w:type="dxa"/>
              <w:bottom w:w="80" w:type="dxa"/>
              <w:end w:w="100" w:type="dxa"/>
            </w:tcMar>
            <w:vAlign w:val="top"/>
          </w:tcPr>
          <w:p>
            <w:pPr>
              <w:spacing w:after="0"/>
            </w:pPr>
            <w:r>
              <w:rPr>
                <w:rFonts w:ascii="Arial" w:hAnsi="Arial"/>
                <w:sz w:val="18"/>
              </w:rPr>
              <w:t>Relevant authorities must be informed when disposing of waste. If water sources or seasonally dry streams are contaminated, the marine protection organization must be notified immediately.</w:t>
            </w:r>
          </w:p>
        </w:tc>
      </w:tr>
    </w:tbl>
    <w:p>
      <w:pPr>
        <w:spacing w:before="120" w:after="80"/>
        <w:pBdr>
          <w:bottom w:val="single" w:sz="6" w:space="2" w:color="2F5597"/>
        </w:pBdr>
      </w:pPr>
      <w:r>
        <w:rPr>
          <w:b/>
          <w:color w:val="2F5597"/>
          <w:sz w:val="25"/>
        </w:rPr>
        <w:t>SECTION 13  Disposal Considerations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Residual waste</w:t>
            </w:r>
          </w:p>
        </w:tc>
        <w:tc>
          <w:tcPr>
            <w:tcW w:type="dxa" w:w="6696"/>
            <w:tcMar>
              <w:top w:w="80" w:type="dxa"/>
              <w:start w:w="100" w:type="dxa"/>
              <w:bottom w:w="80" w:type="dxa"/>
              <w:end w:w="100" w:type="dxa"/>
            </w:tcMar>
            <w:vAlign w:val="top"/>
          </w:tcPr>
          <w:p>
            <w:pPr>
              <w:spacing w:after="0"/>
            </w:pPr>
            <w:r>
              <w:rPr>
                <w:rFonts w:ascii="Arial" w:hAnsi="Arial"/>
                <w:sz w:val="18"/>
              </w:rPr>
              <w:t>Check the possibility of reuse. Product residues should be disposed of in accordance with local regulations. Empty containers or liners may retain product residues. These materials and their containers must be disposed of safely.</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Contaminated packaging</w:t>
            </w:r>
          </w:p>
        </w:tc>
        <w:tc>
          <w:tcPr>
            <w:tcW w:type="dxa" w:w="6696"/>
            <w:tcMar>
              <w:top w:w="80" w:type="dxa"/>
              <w:start w:w="100" w:type="dxa"/>
              <w:bottom w:w="80" w:type="dxa"/>
              <w:end w:w="100" w:type="dxa"/>
            </w:tcMar>
            <w:vAlign w:val="top"/>
          </w:tcPr>
          <w:p>
            <w:pPr>
              <w:spacing w:after="0"/>
            </w:pPr>
            <w:r>
              <w:rPr>
                <w:rFonts w:ascii="Arial" w:hAnsi="Arial"/>
                <w:sz w:val="18"/>
              </w:rPr>
              <w:t>Empty containers should be sent to an approved waste treatment facility for recycling or disposal. Product residues may remain in containers, so label warnings should still be observed even when containers are empty.</w:t>
            </w:r>
          </w:p>
        </w:tc>
      </w:tr>
    </w:tbl>
    <w:p>
      <w:pPr>
        <w:spacing w:before="120" w:after="80"/>
        <w:pBdr>
          <w:bottom w:val="single" w:sz="6" w:space="2" w:color="2F5597"/>
        </w:pBdr>
      </w:pPr>
      <w:r>
        <w:rPr>
          <w:b/>
          <w:color w:val="2F5597"/>
          <w:sz w:val="25"/>
        </w:rPr>
        <w:t>SECTION 14  Transport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Transport hazard classification</w:t>
            </w:r>
          </w:p>
        </w:tc>
        <w:tc>
          <w:tcPr>
            <w:tcW w:type="dxa" w:w="6696"/>
            <w:tcMar>
              <w:top w:w="80" w:type="dxa"/>
              <w:start w:w="100" w:type="dxa"/>
              <w:bottom w:w="80" w:type="dxa"/>
              <w:end w:w="100" w:type="dxa"/>
            </w:tcMar>
            <w:vAlign w:val="top"/>
          </w:tcPr>
          <w:p>
            <w:pPr>
              <w:spacing w:after="0"/>
            </w:pPr>
            <w:r>
              <w:rPr>
                <w:rFonts w:ascii="Arial" w:hAnsi="Arial"/>
                <w:sz w:val="18"/>
              </w:rPr>
              <w:t>Non-dangerous goods for transport.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Transport modes</w:t>
            </w:r>
          </w:p>
        </w:tc>
        <w:tc>
          <w:tcPr>
            <w:tcW w:type="dxa" w:w="6696"/>
            <w:tcMar>
              <w:top w:w="80" w:type="dxa"/>
              <w:start w:w="100" w:type="dxa"/>
              <w:bottom w:w="80" w:type="dxa"/>
              <w:end w:w="100" w:type="dxa"/>
            </w:tcMar>
            <w:vAlign w:val="top"/>
          </w:tcPr>
          <w:p>
            <w:pPr>
              <w:spacing w:after="0"/>
            </w:pPr>
            <w:r>
              <w:rPr>
                <w:rFonts w:ascii="Arial" w:hAnsi="Arial"/>
                <w:sz w:val="18"/>
              </w:rPr>
              <w:t>Sea, road, rail.</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Packaging</w:t>
            </w:r>
          </w:p>
        </w:tc>
        <w:tc>
          <w:tcPr>
            <w:tcW w:type="dxa" w:w="6696"/>
            <w:tcMar>
              <w:top w:w="80" w:type="dxa"/>
              <w:start w:w="100" w:type="dxa"/>
              <w:bottom w:w="80" w:type="dxa"/>
              <w:end w:w="100" w:type="dxa"/>
            </w:tcMar>
            <w:vAlign w:val="top"/>
          </w:tcPr>
          <w:p>
            <w:pPr>
              <w:spacing w:after="0"/>
            </w:pPr>
            <w:r>
              <w:rPr>
                <w:rFonts w:ascii="Arial" w:hAnsi="Arial"/>
                <w:sz w:val="18"/>
              </w:rPr>
              <w:t>Wide-mouth plastic drum.</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transport methods / precautions</w:t>
            </w:r>
          </w:p>
        </w:tc>
        <w:tc>
          <w:tcPr>
            <w:tcW w:type="dxa" w:w="6696"/>
            <w:tcMar>
              <w:top w:w="80" w:type="dxa"/>
              <w:start w:w="100" w:type="dxa"/>
              <w:bottom w:w="80" w:type="dxa"/>
              <w:end w:w="100" w:type="dxa"/>
            </w:tcMar>
            <w:vAlign w:val="top"/>
          </w:tcPr>
          <w:p>
            <w:pPr>
              <w:spacing w:after="0"/>
            </w:pPr>
            <w:r>
              <w:rPr>
                <w:rFonts w:ascii="Arial" w:hAnsi="Arial"/>
                <w:sz w:val="18"/>
              </w:rPr>
              <w:t>Non-dangerous goods. Keep dry, avoid direct sunlight, and keep away from strong acids and strong alkalis.</w:t>
            </w:r>
          </w:p>
        </w:tc>
      </w:tr>
    </w:tbl>
    <w:p>
      <w:pPr>
        <w:spacing w:before="120" w:after="80"/>
        <w:pBdr>
          <w:bottom w:val="single" w:sz="6" w:space="2" w:color="2F5597"/>
        </w:pBdr>
      </w:pPr>
      <w:r>
        <w:rPr>
          <w:b/>
          <w:color w:val="2F5597"/>
          <w:sz w:val="25"/>
        </w:rPr>
        <w:t>SECTION 15  Regulatory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Use restriction</w:t>
            </w:r>
          </w:p>
        </w:tc>
        <w:tc>
          <w:tcPr>
            <w:tcW w:type="dxa" w:w="6696"/>
            <w:tcMar>
              <w:top w:w="80" w:type="dxa"/>
              <w:start w:w="100" w:type="dxa"/>
              <w:bottom w:w="80" w:type="dxa"/>
              <w:end w:w="100" w:type="dxa"/>
            </w:tcMar>
            <w:vAlign w:val="top"/>
          </w:tcPr>
          <w:p>
            <w:pPr>
              <w:spacing w:after="0"/>
            </w:pPr>
            <w:r>
              <w:rPr>
                <w:rFonts w:ascii="Arial" w:hAnsi="Arial"/>
                <w:sz w:val="18"/>
              </w:rPr>
              <w:t>Strictly prohibited for food and feed processing.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Regulatory references</w:t>
            </w:r>
          </w:p>
        </w:tc>
        <w:tc>
          <w:tcPr>
            <w:tcW w:type="dxa" w:w="6696"/>
            <w:tcMar>
              <w:top w:w="80" w:type="dxa"/>
              <w:start w:w="100" w:type="dxa"/>
              <w:bottom w:w="80" w:type="dxa"/>
              <w:end w:w="100" w:type="dxa"/>
            </w:tcMar>
            <w:vAlign w:val="top"/>
          </w:tcPr>
          <w:p>
            <w:pPr>
              <w:spacing w:after="0"/>
            </w:pPr>
            <w:r>
              <w:rPr>
                <w:rFonts w:ascii="Arial" w:hAnsi="Arial"/>
                <w:sz w:val="18"/>
              </w:rPr>
              <w:t>Regulations on the Safety Management of Hazardous Chemicals; Detailed Rules for Implementation of the Regulations on Safety Management of Hazardous Chemicals; Regulations on the Safe Use of Chemicals in the Workplace; Classification and Labels of Common Hazardous Chemicals (GB 13690-92); Law of the People’s Republic of China on the Prevention and Control of Environmental Pollution by Solid Waste; Catalogue of Hazardous Chemicals (2015): Not listed; List of Explosive Precursor Hazardous Chemicals (2017): Not listed.</w:t>
            </w:r>
          </w:p>
        </w:tc>
      </w:tr>
    </w:tbl>
    <w:p>
      <w:r>
        <w:br w:type="page"/>
      </w:r>
    </w:p>
    <w:p>
      <w:pPr>
        <w:spacing w:before="120" w:after="80"/>
        <w:pBdr>
          <w:bottom w:val="single" w:sz="6" w:space="2" w:color="2F5597"/>
        </w:pBdr>
      </w:pPr>
      <w:r>
        <w:rPr>
          <w:b/>
          <w:color w:val="2F5597"/>
          <w:sz w:val="25"/>
        </w:rPr>
        <w:t>SECTION 16  Other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References</w:t>
            </w:r>
          </w:p>
        </w:tc>
        <w:tc>
          <w:tcPr>
            <w:tcW w:type="dxa" w:w="6696"/>
            <w:tcMar>
              <w:top w:w="80" w:type="dxa"/>
              <w:start w:w="100" w:type="dxa"/>
              <w:bottom w:w="80" w:type="dxa"/>
              <w:end w:w="100" w:type="dxa"/>
            </w:tcMar>
            <w:vAlign w:val="top"/>
          </w:tcPr>
          <w:p>
            <w:pPr>
              <w:spacing w:after="0"/>
            </w:pPr>
            <w:r>
              <w:rPr>
                <w:rFonts w:ascii="Arial" w:hAnsi="Arial"/>
                <w:sz w:val="18"/>
              </w:rPr>
              <w:t>1. Chemical safety management in the workplace</w:t>
              <w:br/>
              <w:t>2. New Handbook of Dangerous Goods Safety</w:t>
              <w:br/>
              <w:t>3. Encyclopedia of Hazardous Chemicals Safety Technology</w:t>
              <w:br/>
              <w:t>4. Regulations on Registration and Management of Hazardous Chemicals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Revision note</w:t>
            </w:r>
          </w:p>
        </w:tc>
        <w:tc>
          <w:tcPr>
            <w:tcW w:type="dxa" w:w="6696"/>
            <w:tcMar>
              <w:top w:w="80" w:type="dxa"/>
              <w:start w:w="100" w:type="dxa"/>
              <w:bottom w:w="80" w:type="dxa"/>
              <w:end w:w="100" w:type="dxa"/>
            </w:tcMar>
            <w:vAlign w:val="top"/>
          </w:tcPr>
          <w:p>
            <w:pPr>
              <w:spacing w:after="0"/>
            </w:pPr>
            <w:r>
              <w:rPr>
                <w:rFonts w:ascii="Arial" w:hAnsi="Arial"/>
                <w:sz w:val="18"/>
              </w:rPr>
              <w:t>Revised in accordance with requirements for preparation of Safety Data Sheets for chemical products (GB/T 17519-2013; Q/YM2-2006 applied to the previous MSDS). The information provided in this document is not a product specification and does not guarantee specific properties.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Other information</w:t>
            </w:r>
          </w:p>
        </w:tc>
        <w:tc>
          <w:tcPr>
            <w:tcW w:type="dxa" w:w="6696"/>
            <w:tcMar>
              <w:top w:w="80" w:type="dxa"/>
              <w:start w:w="100" w:type="dxa"/>
              <w:bottom w:w="80" w:type="dxa"/>
              <w:end w:w="100" w:type="dxa"/>
            </w:tcMar>
            <w:vAlign w:val="top"/>
          </w:tcPr>
          <w:p>
            <w:pPr>
              <w:spacing w:after="0"/>
            </w:pPr>
            <w:r>
              <w:rPr>
                <w:rFonts w:ascii="Arial" w:hAnsi="Arial"/>
                <w:sz w:val="18"/>
              </w:rPr>
              <w:t>The data recorded in this Safety Data Sheet are intended only to improve the safe use of this product and are based on the company’s current best knowledge and experience. All data are for reference only; users should determine applicability themselves. The company accepts no responsibility for damage caused by use outside normal operating conditions or under uncontrolled conditions.</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FAST | RU-3340 | English Reference Translation | Page </w:t>
    </w:r>
    <w:r>
      <w:rPr>
        <w:rFonts w:ascii="Arial" w:hAnsi="Arial"/>
        <w:color w:val="666666"/>
        <w:sz w:val="16"/>
      </w:rPr>
      <w:fldChar w:fldCharType="begin"/>
      <w:instrText xml:space="preserve">PAGE</w:instrText>
      <w:fldChar w:fldCharType="end"/>
    </w:r>
    <w:r>
      <w:rPr>
        <w:rFonts w:ascii="Arial" w:hAnsi="Arial"/>
        <w:color w:val="666666"/>
        <w:sz w:val="16"/>
      </w:rPr>
      <w:t xml:space="preserve"> of </w:t>
    </w:r>
    <w:r>
      <w:rPr>
        <w:rFonts w:ascii="Arial" w:hAnsi="Arial"/>
        <w:color w:val="666666"/>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i/>
        <w:color w:val="F05A24"/>
        <w:sz w:val="60"/>
      </w:rPr>
      <w:t>FAST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