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color w:val="55626C"/>
          <w:sz w:val="16"/>
        </w:rPr>
        <w:t>FAST  ·  产品资料参考  ·  PRODUCT DATA REFERENCE</w:t>
      </w:r>
    </w:p>
    <w:p>
      <w:pPr>
        <w:pStyle w:val="Title"/>
      </w:pPr>
      <w:r>
        <w:t>H-81  产品技术资料</w:t>
      </w:r>
    </w:p>
    <w:p>
      <w:r>
        <w:t>Technical data sheet reference for identifying the documented grade and its typical properties. Consult FAST for the current specification of a supplied batch.</w:t>
      </w:r>
    </w:p>
    <w:p>
      <w:pPr>
        <w:pStyle w:val="Heading1"/>
      </w:pPr>
      <w:r>
        <w:t>产品信息  Product identity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952"/>
        <w:gridCol w:w="6768"/>
      </w:tblGrid>
      <w:tr>
        <w:tc>
          <w:tcPr>
            <w:tcW w:type="dxa" w:w="2952"/>
            <w:shd w:fill="EFF3F5"/>
          </w:tcPr>
          <w:p>
            <w:pPr>
              <w:spacing w:after="20"/>
            </w:pPr>
            <w:r>
              <w:rPr>
                <w:sz w:val="18"/>
              </w:rPr>
              <w:t>型号  Model</w:t>
            </w:r>
          </w:p>
        </w:tc>
        <w:tc>
          <w:tcPr>
            <w:tcW w:type="dxa" w:w="6768"/>
          </w:tcPr>
          <w:p>
            <w:pPr>
              <w:spacing w:after="20"/>
            </w:pPr>
            <w:r>
              <w:rPr>
                <w:sz w:val="18"/>
              </w:rPr>
              <w:t>H-81</w:t>
            </w:r>
          </w:p>
        </w:tc>
      </w:tr>
      <w:tr>
        <w:tc>
          <w:tcPr>
            <w:tcW w:type="dxa" w:w="2952"/>
            <w:shd w:fill="EFF3F5"/>
          </w:tcPr>
          <w:p>
            <w:pPr>
              <w:spacing w:after="20"/>
            </w:pPr>
            <w:r>
              <w:rPr>
                <w:sz w:val="18"/>
              </w:rPr>
              <w:t>产品名称  Designation</w:t>
            </w:r>
          </w:p>
        </w:tc>
        <w:tc>
          <w:tcPr>
            <w:tcW w:type="dxa" w:w="6768"/>
          </w:tcPr>
          <w:p>
            <w:pPr>
              <w:spacing w:after="20"/>
            </w:pPr>
            <w:r>
              <w:rPr>
                <w:sz w:val="18"/>
              </w:rPr>
              <w:t>紫罗蓝</w:t>
            </w:r>
          </w:p>
        </w:tc>
      </w:tr>
      <w:tr>
        <w:tc>
          <w:tcPr>
            <w:tcW w:type="dxa" w:w="2952"/>
            <w:shd w:fill="EFF3F5"/>
          </w:tcPr>
          <w:p>
            <w:pPr>
              <w:spacing w:after="20"/>
            </w:pPr>
            <w:r>
              <w:rPr>
                <w:sz w:val="18"/>
              </w:rPr>
              <w:t>产品系列  Family</w:t>
            </w:r>
          </w:p>
        </w:tc>
        <w:tc>
          <w:tcPr>
            <w:tcW w:type="dxa" w:w="6768"/>
          </w:tcPr>
          <w:p>
            <w:pPr>
              <w:spacing w:after="20"/>
            </w:pPr>
            <w:r>
              <w:rPr>
                <w:sz w:val="18"/>
              </w:rPr>
              <w:t>H- 系列高物性能颜料膏 / H pigment series</w:t>
            </w:r>
          </w:p>
        </w:tc>
      </w:tr>
      <w:tr>
        <w:tc>
          <w:tcPr>
            <w:tcW w:type="dxa" w:w="2952"/>
            <w:shd w:fill="EFF3F5"/>
          </w:tcPr>
          <w:p>
            <w:pPr>
              <w:spacing w:after="20"/>
            </w:pPr>
            <w:r>
              <w:rPr>
                <w:sz w:val="18"/>
              </w:rPr>
              <w:t>比重（原稿值）</w:t>
            </w:r>
          </w:p>
        </w:tc>
        <w:tc>
          <w:tcPr>
            <w:tcW w:type="dxa" w:w="6768"/>
          </w:tcPr>
          <w:p>
            <w:pPr>
              <w:spacing w:after="20"/>
            </w:pPr>
            <w:r>
              <w:rPr>
                <w:sz w:val="18"/>
              </w:rPr>
              <w:t>1.5</w:t>
            </w:r>
          </w:p>
        </w:tc>
      </w:tr>
      <w:tr>
        <w:tc>
          <w:tcPr>
            <w:tcW w:type="dxa" w:w="2952"/>
            <w:shd w:fill="EFF3F5"/>
          </w:tcPr>
          <w:p>
            <w:pPr>
              <w:spacing w:after="20"/>
            </w:pPr>
            <w:r>
              <w:rPr>
                <w:sz w:val="18"/>
              </w:rPr>
              <w:t>耐光性（单色）</w:t>
            </w:r>
          </w:p>
        </w:tc>
        <w:tc>
          <w:tcPr>
            <w:tcW w:type="dxa" w:w="6768"/>
          </w:tcPr>
          <w:p>
            <w:pPr>
              <w:spacing w:after="20"/>
            </w:pPr>
            <w:r>
              <w:rPr>
                <w:sz w:val="18"/>
              </w:rPr>
              <w:t>8</w:t>
            </w:r>
          </w:p>
        </w:tc>
      </w:tr>
      <w:tr>
        <w:tc>
          <w:tcPr>
            <w:tcW w:type="dxa" w:w="2952"/>
            <w:shd w:fill="EFF3F5"/>
          </w:tcPr>
          <w:p>
            <w:pPr>
              <w:spacing w:after="20"/>
            </w:pPr>
            <w:r>
              <w:rPr>
                <w:sz w:val="18"/>
              </w:rPr>
              <w:t>耐光性（配白）</w:t>
            </w:r>
          </w:p>
        </w:tc>
        <w:tc>
          <w:tcPr>
            <w:tcW w:type="dxa" w:w="6768"/>
          </w:tcPr>
          <w:p>
            <w:pPr>
              <w:spacing w:after="20"/>
            </w:pPr>
            <w:r>
              <w:rPr>
                <w:sz w:val="18"/>
              </w:rPr>
              <w:t>8</w:t>
            </w:r>
          </w:p>
        </w:tc>
      </w:tr>
      <w:tr>
        <w:tc>
          <w:tcPr>
            <w:tcW w:type="dxa" w:w="2952"/>
            <w:shd w:fill="EFF3F5"/>
          </w:tcPr>
          <w:p>
            <w:pPr>
              <w:spacing w:after="20"/>
            </w:pPr>
            <w:r>
              <w:rPr>
                <w:sz w:val="18"/>
              </w:rPr>
              <w:t>耐迁移（对 PVC）</w:t>
            </w:r>
          </w:p>
        </w:tc>
        <w:tc>
          <w:tcPr>
            <w:tcW w:type="dxa" w:w="6768"/>
          </w:tcPr>
          <w:p>
            <w:pPr>
              <w:spacing w:after="20"/>
            </w:pPr>
            <w:r>
              <w:rPr>
                <w:sz w:val="18"/>
              </w:rPr>
              <w:t>5</w:t>
            </w:r>
          </w:p>
        </w:tc>
      </w:tr>
      <w:tr>
        <w:tc>
          <w:tcPr>
            <w:tcW w:type="dxa" w:w="2952"/>
            <w:shd w:fill="EFF3F5"/>
          </w:tcPr>
          <w:p>
            <w:pPr>
              <w:spacing w:after="20"/>
            </w:pPr>
            <w:r>
              <w:rPr>
                <w:sz w:val="18"/>
              </w:rPr>
              <w:t>耐甲苯</w:t>
            </w:r>
          </w:p>
        </w:tc>
        <w:tc>
          <w:tcPr>
            <w:tcW w:type="dxa" w:w="6768"/>
          </w:tcPr>
          <w:p>
            <w:pPr>
              <w:spacing w:after="20"/>
            </w:pPr>
            <w:r>
              <w:rPr>
                <w:sz w:val="18"/>
              </w:rPr>
              <w:t>5</w:t>
            </w:r>
          </w:p>
        </w:tc>
      </w:tr>
    </w:tbl>
    <w:p>
      <w:pPr>
        <w:pStyle w:val="Heading1"/>
      </w:pPr>
      <w:r>
        <w:t>资料记载  Documented scope</w:t>
      </w:r>
    </w:p>
    <w:p>
      <w:r>
        <w:t>应用：水性皮革涂饰（系列方向）</w:t>
      </w:r>
    </w:p>
    <w:p>
      <w:r>
        <w:t>应用类别：真皮涂饰</w:t>
      </w:r>
    </w:p>
    <w:p>
      <w:pPr>
        <w:pStyle w:val="Heading1"/>
      </w:pPr>
      <w:r>
        <w:t>数据说明  Data basis</w:t>
      </w:r>
    </w:p>
    <w:p>
      <w:r>
        <w:rPr>
          <w:sz w:val="16"/>
        </w:rPr>
        <w:t>来源：真皮涂层材料 补充版。数值和描述依照所提供产品文档整理，属于参考资料；文档未列出的指标未作推定。具体批次以供应方最新规格资料为准。</w:t>
      </w:r>
    </w:p>
    <w:sectPr w:rsidR="00FC693F" w:rsidRPr="0006063C" w:rsidSect="00034616">
      <w:pgSz w:w="12240" w:h="15840"/>
      <w:pgMar w:top="922" w:right="1080" w:bottom="922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/>
    </w:pPr>
    <w:rPr>
      <w:rFonts w:ascii="Arial" w:hAnsi="Arial"/>
      <w:color w:val="222C35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20" w:after="80"/>
      <w:outlineLvl w:val="0"/>
    </w:pPr>
    <w:rPr>
      <w:rFonts w:asciiTheme="majorHAnsi" w:eastAsiaTheme="majorEastAsia" w:hAnsiTheme="majorHAnsi" w:cstheme="majorBidi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20" w:after="80"/>
      <w:outlineLvl w:val="1"/>
    </w:pPr>
    <w:rPr>
      <w:rFonts w:asciiTheme="majorHAnsi" w:eastAsiaTheme="majorEastAsia" w:hAnsiTheme="majorHAnsi" w:cstheme="majorBidi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40" w:line="240" w:lineRule="auto"/>
      <w:contextualSpacing/>
      <w:pBdr>
        <w:bottom w:val="nil"/>
      </w:pBdr>
    </w:pPr>
    <w:rPr>
      <w:rFonts w:asciiTheme="majorHAnsi" w:eastAsiaTheme="majorEastAsia" w:hAnsiTheme="majorHAnsi" w:cstheme="majorBidi" w:ascii="Arial" w:hAnsi="Arial"/>
      <w:b/>
      <w:color w:val="000000"/>
      <w:spacing w:val="5"/>
      <w:kern w:val="28"/>
      <w:sz w:val="4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