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F2F73">
      <w:pPr>
        <w:pStyle w:val="4"/>
        <w:framePr w:wrap="auto" w:vAnchor="margin" w:hAnchor="text" w:yAlign="inline"/>
        <w:rPr>
          <w:rFonts w:ascii="PingFang SC Semibold" w:hAnsi="PingFang SC Semibold" w:eastAsia="PingFang SC Semibold" w:cs="PingFang SC Semibold"/>
          <w:sz w:val="36"/>
          <w:szCs w:val="36"/>
        </w:rPr>
      </w:pPr>
      <w:r>
        <w:rPr>
          <w:rFonts w:ascii="PingFang SC Semibold" w:hAnsi="PingFang SC Semibold"/>
          <w:sz w:val="36"/>
          <w:szCs w:val="36"/>
          <w:rtl w:val="0"/>
        </w:rPr>
        <w:t>RU-3340</w:t>
      </w:r>
    </w:p>
    <w:p w14:paraId="5495F946">
      <w:pPr>
        <w:pStyle w:val="4"/>
        <w:framePr w:wrap="auto" w:vAnchor="margin" w:hAnchor="text" w:yAlign="inline"/>
        <w:rPr>
          <w:sz w:val="24"/>
          <w:szCs w:val="24"/>
          <w:u w:val="single"/>
        </w:rPr>
      </w:pPr>
      <w:r>
        <w:rPr>
          <w:sz w:val="24"/>
          <w:szCs w:val="24"/>
          <w:u w:val="single"/>
          <w:rtl w:val="0"/>
        </w:rPr>
        <w:t>Waterborne Polyurethane Resin</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2526A3DF">
      <w:pPr>
        <w:pStyle w:val="4"/>
        <w:framePr w:wrap="auto" w:vAnchor="margin" w:hAnchor="text" w:yAlign="inline"/>
        <w:bidi w:val="0"/>
      </w:pPr>
    </w:p>
    <w:p w14:paraId="7AA86A05">
      <w:pPr>
        <w:pStyle w:val="4"/>
        <w:framePr w:wrap="auto" w:vAnchor="margin" w:hAnchor="text" w:yAlign="inline"/>
        <w:rPr>
          <w:sz w:val="28"/>
          <w:szCs w:val="28"/>
        </w:rPr>
      </w:pPr>
      <w:r>
        <w:rPr>
          <w:sz w:val="28"/>
          <w:szCs w:val="28"/>
          <w:rtl w:val="0"/>
          <w:lang w:val="en-US"/>
        </w:rPr>
        <w:t>Characteristics:</w:t>
      </w:r>
    </w:p>
    <w:p w14:paraId="2BBFD13D">
      <w:pPr>
        <w:pStyle w:val="4"/>
        <w:framePr w:wrap="auto" w:vAnchor="margin" w:hAnchor="text" w:yAlign="inline"/>
        <w:bidi w:val="0"/>
      </w:pPr>
      <w:r>
        <w:rPr>
          <w:rtl w:val="0"/>
          <w:lang w:val="en-US"/>
        </w:rPr>
        <w:t>Aliphatic polyurethane dispersion</w:t>
      </w:r>
    </w:p>
    <w:p w14:paraId="5D2340F7">
      <w:pPr>
        <w:pStyle w:val="4"/>
        <w:framePr w:wrap="auto" w:vAnchor="margin" w:hAnchor="text" w:yAlign="inline"/>
        <w:rPr>
          <w:sz w:val="28"/>
          <w:szCs w:val="28"/>
        </w:rPr>
      </w:pPr>
    </w:p>
    <w:p w14:paraId="6048FE57">
      <w:pPr>
        <w:pStyle w:val="4"/>
        <w:framePr w:wrap="auto" w:vAnchor="margin" w:hAnchor="text" w:yAlign="inline"/>
        <w:rPr>
          <w:sz w:val="28"/>
          <w:szCs w:val="28"/>
        </w:rPr>
      </w:pPr>
      <w:r>
        <w:rPr>
          <w:sz w:val="28"/>
          <w:szCs w:val="28"/>
          <w:rtl w:val="0"/>
          <w:lang w:val="en-US"/>
        </w:rPr>
        <w:t>Application Characteristics:</w:t>
      </w:r>
    </w:p>
    <w:p w14:paraId="0FA68F50">
      <w:pPr>
        <w:pStyle w:val="4"/>
        <w:framePr w:wrap="auto" w:vAnchor="margin" w:hAnchor="text" w:yAlign="inline"/>
        <w:bidi w:val="0"/>
      </w:pPr>
      <w:r>
        <w:rPr>
          <w:rtl w:val="0"/>
          <w:lang w:val="en-US"/>
        </w:rPr>
        <w:t>1. Excellent UV radiation resistance</w:t>
      </w:r>
    </w:p>
    <w:p w14:paraId="27CD77C8">
      <w:pPr>
        <w:pStyle w:val="4"/>
        <w:framePr w:wrap="auto" w:vAnchor="margin" w:hAnchor="text" w:yAlign="inline"/>
        <w:bidi w:val="0"/>
      </w:pPr>
      <w:r>
        <w:rPr>
          <w:rtl w:val="0"/>
          <w:lang w:val="en-US"/>
        </w:rPr>
        <w:t>2. Excellent cold resistance, flex resistance</w:t>
      </w:r>
    </w:p>
    <w:p w14:paraId="1EB6D00C">
      <w:pPr>
        <w:pStyle w:val="4"/>
        <w:framePr w:wrap="auto" w:vAnchor="margin" w:hAnchor="text" w:yAlign="inline"/>
        <w:bidi w:val="0"/>
      </w:pPr>
      <w:r>
        <w:rPr>
          <w:rtl w:val="0"/>
          <w:lang w:val="en-US"/>
        </w:rPr>
        <w:t>3. Excellent flexural fatigue resistance</w:t>
      </w:r>
    </w:p>
    <w:p w14:paraId="5D2D1AF7">
      <w:pPr>
        <w:pStyle w:val="4"/>
        <w:framePr w:wrap="auto" w:vAnchor="margin" w:hAnchor="text" w:yAlign="inline"/>
        <w:bidi w:val="0"/>
      </w:pPr>
      <w:r>
        <w:rPr>
          <w:rtl w:val="0"/>
          <w:lang w:val="en-US"/>
        </w:rPr>
        <w:t>4. Uniform appearance, and excellent extensibility</w:t>
      </w:r>
    </w:p>
    <w:p w14:paraId="2688B6DE">
      <w:pPr>
        <w:pStyle w:val="4"/>
        <w:framePr w:wrap="auto" w:vAnchor="margin" w:hAnchor="text" w:yAlign="inline"/>
        <w:bidi w:val="0"/>
      </w:pPr>
      <w:r>
        <w:rPr>
          <w:rtl w:val="0"/>
          <w:lang w:val="en-US"/>
        </w:rPr>
        <w:t>5. Clear and transparent film formation, smooth surface</w:t>
      </w:r>
    </w:p>
    <w:p w14:paraId="634BF061">
      <w:pPr>
        <w:pStyle w:val="4"/>
        <w:framePr w:wrap="auto" w:vAnchor="margin" w:hAnchor="text" w:yAlign="inline"/>
        <w:bidi w:val="0"/>
      </w:pPr>
    </w:p>
    <w:tbl>
      <w:tblPr>
        <w:tblStyle w:val="2"/>
        <w:tblW w:w="9630"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fixed"/>
        <w:tblCellMar>
          <w:top w:w="0" w:type="dxa"/>
          <w:left w:w="10" w:type="dxa"/>
          <w:bottom w:w="0" w:type="dxa"/>
          <w:right w:w="10" w:type="dxa"/>
        </w:tblCellMar>
      </w:tblPr>
      <w:tblGrid>
        <w:gridCol w:w="2407"/>
        <w:gridCol w:w="2408"/>
        <w:gridCol w:w="2408"/>
        <w:gridCol w:w="2407"/>
      </w:tblGrid>
      <w:tr w14:paraId="5369B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 w:type="dxa"/>
            <w:bottom w:w="0" w:type="dxa"/>
            <w:right w:w="10" w:type="dxa"/>
          </w:tblCellMar>
        </w:tblPrEx>
        <w:trPr>
          <w:trHeight w:val="327" w:hRule="atLeast"/>
        </w:trPr>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419A18A5">
            <w:pPr>
              <w:pStyle w:val="4"/>
              <w:framePr w:wrap="auto" w:vAnchor="margin" w:hAnchor="text" w:yAlign="inline"/>
              <w:bidi w:val="0"/>
            </w:pPr>
            <w:r>
              <w:rPr>
                <w:rFonts w:ascii="PingFang SC Regular" w:hAnsi="PingFang SC Regular" w:eastAsia="Arial Unicode MS" w:cs="Arial Unicode MS"/>
                <w:rtl w:val="0"/>
              </w:rPr>
              <w:t>Appearance</w:t>
            </w:r>
          </w:p>
        </w:tc>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1E16FFD2">
            <w:pPr>
              <w:pStyle w:val="4"/>
              <w:framePr w:wrap="auto" w:vAnchor="margin" w:hAnchor="text" w:yAlign="inline"/>
              <w:bidi w:val="0"/>
            </w:pPr>
            <w:r>
              <w:rPr>
                <w:rFonts w:ascii="PingFang SC Regular" w:hAnsi="PingFang SC Regular" w:eastAsia="Arial Unicode MS" w:cs="Arial Unicode MS"/>
                <w:rtl w:val="0"/>
              </w:rPr>
              <w:t>Transparent liquid</w:t>
            </w:r>
          </w:p>
        </w:tc>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30ADA6E2"/>
        </w:tc>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1E876587"/>
        </w:tc>
      </w:tr>
      <w:tr w14:paraId="0F8A0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 w:type="dxa"/>
            <w:bottom w:w="0" w:type="dxa"/>
            <w:right w:w="10" w:type="dxa"/>
          </w:tblCellMar>
        </w:tblPrEx>
        <w:trPr>
          <w:trHeight w:val="327" w:hRule="atLeast"/>
        </w:trPr>
        <w:tc>
          <w:tcPr>
            <w:tcW w:w="2407"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67410DF5">
            <w:pPr>
              <w:pStyle w:val="4"/>
              <w:framePr w:wrap="auto" w:vAnchor="margin" w:hAnchor="text" w:yAlign="inline"/>
              <w:bidi w:val="0"/>
            </w:pPr>
            <w:r>
              <w:rPr>
                <w:rFonts w:ascii="PingFang SC Regular" w:hAnsi="PingFang SC Regular" w:eastAsia="Arial Unicode MS" w:cs="Arial Unicode MS"/>
                <w:rtl w:val="0"/>
              </w:rPr>
              <w:t>Solid Content</w:t>
            </w:r>
          </w:p>
        </w:tc>
        <w:tc>
          <w:tcPr>
            <w:tcW w:w="2407"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2F88104A">
            <w:pPr>
              <w:pStyle w:val="4"/>
              <w:framePr w:wrap="auto" w:vAnchor="margin" w:hAnchor="text" w:yAlign="inline"/>
              <w:bidi w:val="0"/>
            </w:pPr>
            <w:r>
              <w:rPr>
                <w:rFonts w:hint="default" w:ascii="PingFang SC Regular" w:hAnsi="PingFang SC Regular" w:eastAsia="Arial Unicode MS" w:cs="Arial Unicode MS"/>
                <w:rtl w:val="0"/>
              </w:rPr>
              <w:t>±</w:t>
            </w:r>
            <w:r>
              <w:rPr>
                <w:rFonts w:ascii="PingFang SC Regular" w:hAnsi="PingFang SC Regular" w:eastAsia="Arial Unicode MS" w:cs="Arial Unicode MS"/>
                <w:rtl w:val="0"/>
              </w:rPr>
              <w:t>30%</w:t>
            </w:r>
          </w:p>
        </w:tc>
        <w:tc>
          <w:tcPr>
            <w:tcW w:w="2407"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20DE1B98"/>
        </w:tc>
        <w:tc>
          <w:tcPr>
            <w:tcW w:w="2407"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08C42D50"/>
        </w:tc>
      </w:tr>
      <w:tr w14:paraId="3D2BA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 w:type="dxa"/>
            <w:bottom w:w="0" w:type="dxa"/>
            <w:right w:w="10" w:type="dxa"/>
          </w:tblCellMar>
        </w:tblPrEx>
        <w:trPr>
          <w:trHeight w:val="327" w:hRule="atLeast"/>
        </w:trPr>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42FDDF57">
            <w:pPr>
              <w:pStyle w:val="4"/>
              <w:framePr w:wrap="auto" w:vAnchor="margin" w:hAnchor="text" w:yAlign="inline"/>
              <w:bidi w:val="0"/>
            </w:pPr>
            <w:r>
              <w:rPr>
                <w:rFonts w:ascii="PingFang SC Regular" w:hAnsi="PingFang SC Regular" w:eastAsia="Arial Unicode MS" w:cs="Arial Unicode MS"/>
                <w:rtl w:val="0"/>
              </w:rPr>
              <w:t>pH Value</w:t>
            </w:r>
          </w:p>
        </w:tc>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7BA3DA18">
            <w:pPr>
              <w:pStyle w:val="4"/>
              <w:framePr w:wrap="auto" w:vAnchor="margin" w:hAnchor="text" w:yAlign="inline"/>
              <w:bidi w:val="0"/>
            </w:pPr>
            <w:r>
              <w:rPr>
                <w:rFonts w:ascii="PingFang SC Regular" w:hAnsi="PingFang SC Regular" w:eastAsia="Arial Unicode MS" w:cs="Arial Unicode MS"/>
                <w:rtl w:val="0"/>
              </w:rPr>
              <w:t>7-8</w:t>
            </w:r>
          </w:p>
        </w:tc>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7DD4325B"/>
        </w:tc>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738CC831"/>
        </w:tc>
      </w:tr>
      <w:tr w14:paraId="326B9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 w:type="dxa"/>
            <w:bottom w:w="0" w:type="dxa"/>
            <w:right w:w="10" w:type="dxa"/>
          </w:tblCellMar>
        </w:tblPrEx>
        <w:trPr>
          <w:trHeight w:val="327" w:hRule="atLeast"/>
        </w:trPr>
        <w:tc>
          <w:tcPr>
            <w:tcW w:w="2407"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07FC6941">
            <w:pPr>
              <w:pStyle w:val="4"/>
              <w:framePr w:wrap="auto" w:vAnchor="margin" w:hAnchor="text" w:yAlign="inline"/>
              <w:bidi w:val="0"/>
            </w:pPr>
            <w:r>
              <w:rPr>
                <w:rFonts w:ascii="PingFang SC Regular" w:hAnsi="PingFang SC Regular" w:eastAsia="Arial Unicode MS" w:cs="Arial Unicode MS"/>
                <w:rtl w:val="0"/>
              </w:rPr>
              <w:t>Characteristics</w:t>
            </w:r>
          </w:p>
        </w:tc>
        <w:tc>
          <w:tcPr>
            <w:tcW w:w="2407"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199F18A5">
            <w:pPr>
              <w:pStyle w:val="4"/>
              <w:framePr w:wrap="auto" w:vAnchor="margin" w:hAnchor="text" w:yAlign="inline"/>
              <w:bidi w:val="0"/>
            </w:pPr>
            <w:r>
              <w:rPr>
                <w:rFonts w:ascii="PingFang SC Regular" w:hAnsi="PingFang SC Regular" w:eastAsia="Arial Unicode MS" w:cs="Arial Unicode MS"/>
                <w:rtl w:val="0"/>
              </w:rPr>
              <w:t>Soft</w:t>
            </w:r>
          </w:p>
        </w:tc>
        <w:tc>
          <w:tcPr>
            <w:tcW w:w="2407"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6CAC33F4"/>
        </w:tc>
        <w:tc>
          <w:tcPr>
            <w:tcW w:w="2407" w:type="dxa"/>
            <w:tcBorders>
              <w:top w:val="single" w:color="000000" w:sz="2" w:space="0"/>
              <w:left w:val="single" w:color="000000" w:sz="2" w:space="0"/>
              <w:bottom w:val="single" w:color="000000" w:sz="2" w:space="0"/>
              <w:right w:val="single" w:color="000000" w:sz="2" w:space="0"/>
            </w:tcBorders>
            <w:shd w:val="clear" w:color="auto" w:fill="F5F5F5"/>
            <w:tcMar>
              <w:top w:w="80" w:type="dxa"/>
              <w:left w:w="80" w:type="dxa"/>
              <w:bottom w:w="80" w:type="dxa"/>
              <w:right w:w="80" w:type="dxa"/>
            </w:tcMar>
            <w:vAlign w:val="top"/>
          </w:tcPr>
          <w:p w14:paraId="6490700D"/>
        </w:tc>
      </w:tr>
      <w:tr w14:paraId="49E4E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 w:type="dxa"/>
            <w:bottom w:w="0" w:type="dxa"/>
            <w:right w:w="10" w:type="dxa"/>
          </w:tblCellMar>
        </w:tblPrEx>
        <w:trPr>
          <w:trHeight w:val="327" w:hRule="atLeast"/>
        </w:trPr>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31127D06">
            <w:pPr>
              <w:pStyle w:val="4"/>
              <w:framePr w:wrap="auto" w:vAnchor="margin" w:hAnchor="text" w:yAlign="inline"/>
              <w:bidi w:val="0"/>
            </w:pPr>
            <w:r>
              <w:rPr>
                <w:rFonts w:ascii="PingFang SC Regular" w:hAnsi="PingFang SC Regular" w:eastAsia="Arial Unicode MS" w:cs="Arial Unicode MS"/>
                <w:rtl w:val="0"/>
              </w:rPr>
              <w:t xml:space="preserve">Ionicity </w:t>
            </w:r>
          </w:p>
        </w:tc>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472D6D04">
            <w:pPr>
              <w:pStyle w:val="4"/>
              <w:framePr w:wrap="auto" w:vAnchor="margin" w:hAnchor="text" w:yAlign="inline"/>
              <w:bidi w:val="0"/>
            </w:pPr>
            <w:r>
              <w:rPr>
                <w:rFonts w:ascii="PingFang SC Regular" w:hAnsi="PingFang SC Regular" w:eastAsia="Arial Unicode MS" w:cs="Arial Unicode MS"/>
                <w:rtl w:val="0"/>
              </w:rPr>
              <w:t>Anionic</w:t>
            </w:r>
          </w:p>
        </w:tc>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409DF5FC"/>
        </w:tc>
        <w:tc>
          <w:tcPr>
            <w:tcW w:w="2407" w:type="dxa"/>
            <w:tcBorders>
              <w:top w:val="single" w:color="000000" w:sz="2" w:space="0"/>
              <w:left w:val="single" w:color="000000" w:sz="2" w:space="0"/>
              <w:bottom w:val="single" w:color="000000" w:sz="2" w:space="0"/>
              <w:right w:val="single" w:color="000000" w:sz="2" w:space="0"/>
            </w:tcBorders>
            <w:shd w:val="clear" w:color="auto" w:fill="auto"/>
            <w:tcMar>
              <w:top w:w="80" w:type="dxa"/>
              <w:left w:w="80" w:type="dxa"/>
              <w:bottom w:w="80" w:type="dxa"/>
              <w:right w:w="80" w:type="dxa"/>
            </w:tcMar>
            <w:vAlign w:val="top"/>
          </w:tcPr>
          <w:p w14:paraId="09728B01"/>
        </w:tc>
      </w:tr>
    </w:tbl>
    <w:p w14:paraId="41E304D2">
      <w:pPr>
        <w:pStyle w:val="4"/>
        <w:framePr w:wrap="auto" w:vAnchor="margin" w:hAnchor="text" w:yAlign="inline"/>
        <w:bidi w:val="0"/>
      </w:pPr>
      <w:r>
        <w:rPr>
          <w:sz w:val="28"/>
          <w:szCs w:val="28"/>
          <w:rtl w:val="0"/>
          <w:lang w:val="en-US"/>
        </w:rPr>
        <w:t>Product Characteristics:</w:t>
      </w:r>
      <w:r>
        <w:rPr>
          <w:rtl w:val="0"/>
        </w:rPr>
        <w:t xml:space="preserve">   </w:t>
      </w:r>
    </w:p>
    <w:p w14:paraId="3D4F104A">
      <w:pPr>
        <w:pStyle w:val="4"/>
        <w:framePr w:wrap="auto" w:vAnchor="margin" w:hAnchor="text" w:yAlign="inline"/>
        <w:rPr>
          <w:sz w:val="28"/>
          <w:szCs w:val="28"/>
        </w:rPr>
      </w:pPr>
    </w:p>
    <w:p w14:paraId="1EE0DDBA">
      <w:pPr>
        <w:pStyle w:val="4"/>
        <w:framePr w:wrap="auto" w:vAnchor="margin" w:hAnchor="text" w:yAlign="inline"/>
        <w:rPr>
          <w:sz w:val="28"/>
          <w:szCs w:val="28"/>
        </w:rPr>
      </w:pPr>
      <w:r>
        <w:rPr>
          <w:sz w:val="28"/>
          <w:szCs w:val="28"/>
          <w:rtl w:val="0"/>
          <w:lang w:val="en-US"/>
        </w:rPr>
        <w:t>Application Recommendations:</w:t>
      </w:r>
    </w:p>
    <w:p w14:paraId="4478D242">
      <w:pPr>
        <w:pStyle w:val="4"/>
        <w:framePr w:wrap="auto" w:vAnchor="margin" w:hAnchor="text" w:yAlign="inline"/>
        <w:bidi w:val="0"/>
      </w:pPr>
      <w:r>
        <w:rPr>
          <w:rtl w:val="0"/>
          <w:lang w:val="en-US"/>
        </w:rPr>
        <w:t>Suitable for (leather, PU) sofa leather, footwear upper, luggage leather, and midsole coating.</w:t>
      </w:r>
    </w:p>
    <w:p w14:paraId="27A1F70C">
      <w:pPr>
        <w:pStyle w:val="4"/>
        <w:framePr w:wrap="auto" w:vAnchor="margin" w:hAnchor="text" w:yAlign="inline"/>
        <w:bidi w:val="0"/>
      </w:pPr>
    </w:p>
    <w:p w14:paraId="723D689A">
      <w:pPr>
        <w:pStyle w:val="4"/>
        <w:framePr w:wrap="auto" w:vAnchor="margin" w:hAnchor="text" w:yAlign="inline"/>
        <w:rPr>
          <w:sz w:val="28"/>
          <w:szCs w:val="28"/>
        </w:rPr>
      </w:pPr>
      <w:r>
        <w:rPr>
          <w:sz w:val="28"/>
          <w:szCs w:val="28"/>
          <w:rtl w:val="0"/>
          <w:lang w:val="en-US"/>
        </w:rPr>
        <w:t>Storage Method:</w:t>
      </w:r>
    </w:p>
    <w:p w14:paraId="267F1489">
      <w:pPr>
        <w:pStyle w:val="4"/>
        <w:framePr w:wrap="auto" w:vAnchor="margin" w:hAnchor="text" w:yAlign="inline"/>
        <w:bidi w:val="0"/>
      </w:pPr>
      <w:r>
        <w:rPr>
          <w:rtl w:val="0"/>
          <w:lang w:val="en-US"/>
        </w:rPr>
        <w:t>Store in sealed original packaging at 5</w:t>
      </w:r>
      <w:r>
        <w:rPr>
          <w:rtl w:val="0"/>
          <w:lang w:val="it-IT"/>
        </w:rPr>
        <w:t>°</w:t>
      </w:r>
      <w:r>
        <w:rPr>
          <w:rtl w:val="0"/>
          <w:lang w:val="en-US"/>
        </w:rPr>
        <w:t>C ~ 40</w:t>
      </w:r>
      <w:r>
        <w:rPr>
          <w:rtl w:val="0"/>
          <w:lang w:val="it-IT"/>
        </w:rPr>
        <w:t>°</w:t>
      </w:r>
      <w:r>
        <w:rPr>
          <w:rtl w:val="0"/>
          <w:lang w:val="en-US"/>
        </w:rPr>
        <w:t>C for at least one year. After each use, the packaging should be resealed. Once opened, the product should be used up as soon as possible. This product must be protected from freezing. Must be mixed thoroughly before use.</w:t>
      </w:r>
    </w:p>
    <w:p w14:paraId="705754EE">
      <w:pPr>
        <w:pStyle w:val="4"/>
        <w:framePr w:wrap="auto" w:vAnchor="margin" w:hAnchor="text" w:yAlign="inline"/>
        <w:bidi w:val="0"/>
      </w:pPr>
    </w:p>
    <w:p w14:paraId="415DC277">
      <w:pPr>
        <w:pStyle w:val="4"/>
        <w:framePr w:wrap="auto" w:vAnchor="margin" w:hAnchor="text" w:yAlign="inline"/>
        <w:jc w:val="center"/>
        <w:rPr>
          <w:sz w:val="20"/>
          <w:szCs w:val="20"/>
        </w:rPr>
      </w:pPr>
    </w:p>
    <w:p w14:paraId="716B88C5">
      <w:pPr>
        <w:pStyle w:val="4"/>
        <w:framePr w:wrap="auto" w:vAnchor="margin" w:hAnchor="text" w:yAlign="inline"/>
        <w:jc w:val="center"/>
        <w:rPr>
          <w:sz w:val="20"/>
          <w:szCs w:val="20"/>
        </w:rPr>
      </w:pPr>
    </w:p>
    <w:p w14:paraId="66785D59">
      <w:pPr>
        <w:pStyle w:val="4"/>
        <w:framePr w:wrap="auto" w:vAnchor="margin" w:hAnchor="text" w:yAlign="inline"/>
        <w:jc w:val="center"/>
        <w:rPr>
          <w:sz w:val="20"/>
          <w:szCs w:val="20"/>
        </w:rPr>
      </w:pPr>
    </w:p>
    <w:p w14:paraId="7DEA8AE1">
      <w:pPr>
        <w:pStyle w:val="4"/>
        <w:framePr w:wrap="auto" w:vAnchor="margin" w:hAnchor="text" w:yAlign="inline"/>
        <w:jc w:val="center"/>
        <w:rPr>
          <w:sz w:val="20"/>
          <w:szCs w:val="20"/>
        </w:rPr>
      </w:pPr>
    </w:p>
    <w:p w14:paraId="3509FD32">
      <w:pPr>
        <w:pStyle w:val="4"/>
        <w:framePr w:wrap="auto" w:vAnchor="margin" w:hAnchor="text" w:yAlign="inline"/>
        <w:jc w:val="center"/>
        <w:rPr>
          <w:sz w:val="20"/>
          <w:szCs w:val="20"/>
        </w:rPr>
      </w:pPr>
    </w:p>
    <w:p w14:paraId="62E629BF">
      <w:pPr>
        <w:pStyle w:val="4"/>
        <w:framePr w:wrap="auto" w:vAnchor="margin" w:hAnchor="text" w:yAlign="inline"/>
        <w:jc w:val="center"/>
        <w:rPr>
          <w:sz w:val="20"/>
          <w:szCs w:val="20"/>
        </w:rPr>
      </w:pPr>
    </w:p>
    <w:p w14:paraId="3540AB21">
      <w:pPr>
        <w:pStyle w:val="4"/>
        <w:framePr w:wrap="auto" w:vAnchor="margin" w:hAnchor="text" w:yAlign="inline"/>
        <w:jc w:val="center"/>
        <w:rPr>
          <w:sz w:val="20"/>
          <w:szCs w:val="20"/>
        </w:rPr>
      </w:pPr>
    </w:p>
    <w:p w14:paraId="7E629E14">
      <w:pPr>
        <w:pStyle w:val="4"/>
        <w:framePr w:wrap="auto" w:vAnchor="margin" w:hAnchor="text" w:yAlign="inline"/>
        <w:jc w:val="center"/>
        <w:rPr>
          <w:color w:val="EE220C"/>
          <w:sz w:val="20"/>
          <w:szCs w:val="20"/>
        </w:rPr>
      </w:pPr>
      <w:r>
        <w:rPr>
          <w:sz w:val="20"/>
          <w:szCs w:val="20"/>
          <w:rtl w:val="0"/>
          <w:lang w:val="en-US"/>
        </w:rPr>
        <w:t xml:space="preserve">This technical data sheet is for reference only and does not constitute any guarantee. Please test its applicability in advance. | </w:t>
      </w:r>
      <w:r>
        <w:rPr>
          <w:color w:val="EE220C"/>
          <w:sz w:val="20"/>
          <w:szCs w:val="20"/>
          <w:rtl w:val="0"/>
        </w:rPr>
        <w:t>FAST</w:t>
      </w:r>
    </w:p>
    <w:p w14:paraId="167707B2">
      <w:pPr>
        <w:pStyle w:val="4"/>
        <w:framePr w:wrap="auto" w:vAnchor="margin" w:hAnchor="text" w:yAlign="inline"/>
        <w:jc w:val="center"/>
        <w:rPr>
          <w:sz w:val="20"/>
          <w:szCs w:val="20"/>
        </w:rPr>
      </w:pPr>
      <w:r>
        <w:rPr>
          <w:color w:val="EE220C"/>
          <w:sz w:val="20"/>
          <w:szCs w:val="20"/>
          <w:rtl w:val="0"/>
        </w:rPr>
        <w:t>FAST</w:t>
      </w:r>
      <w:r>
        <w:rPr>
          <w:sz w:val="20"/>
          <w:szCs w:val="20"/>
          <w:rtl w:val="0"/>
          <w:lang w:val="en-US"/>
        </w:rPr>
        <w:t xml:space="preserve"> | Fast Waterborne Coating Materials</w:t>
      </w:r>
    </w:p>
    <w:p w14:paraId="531C6DEE">
      <w:pPr>
        <w:pStyle w:val="4"/>
        <w:framePr w:wrap="auto" w:vAnchor="margin" w:hAnchor="text" w:yAlign="inline"/>
        <w:bidi w:val="0"/>
      </w:pPr>
    </w:p>
    <w:p w14:paraId="6BB6D2DB"/>
    <w:p w14:paraId="79561D43">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0000000000000000000"/>
    <w:charset w:val="86"/>
    <w:family w:val="roman"/>
    <w:pitch w:val="default"/>
    <w:sig w:usb0="00000000" w:usb1="00000000" w:usb2="00000000" w:usb3="00000000" w:csb0="00000000" w:csb1="00000000"/>
  </w:font>
  <w:font w:name="PingFang SC Regular">
    <w:altName w:val="Segoe Print"/>
    <w:panose1 w:val="00000000000000000000"/>
    <w:charset w:val="00"/>
    <w:family w:val="roman"/>
    <w:pitch w:val="default"/>
    <w:sig w:usb0="00000000" w:usb1="00000000" w:usb2="00000000" w:usb3="00000000" w:csb0="00000000" w:csb1="00000000"/>
  </w:font>
  <w:font w:name="PingFang SC Semibold">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D7632"/>
    <w:rsid w:val="3B9A0AD5"/>
    <w:rsid w:val="55CD7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PingFang SC Regular" w:hAnsi="PingFang SC Regular" w:eastAsia="Arial Unicode MS" w:cs="Arial Unicode MS"/>
      <w:color w:val="000000"/>
      <w:spacing w:val="0"/>
      <w:w w:val="100"/>
      <w:kern w:val="0"/>
      <w:position w:val="0"/>
      <w:sz w:val="22"/>
      <w:szCs w:val="22"/>
      <w:u w:val="none" w:color="auto"/>
      <w:shd w:val="clear" w:color="auto" w:fill="auto"/>
      <w:vertAlign w:val="baseli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2026-09-11T14:24:00Z</dcterms:created>
  <dc:creator>May</dc:creator>
  <cp:lastModifiedBy>May</cp:lastModifiedBy>
  <dcterms:modified xsi:type="dcterms:W3CDTF">2026-09-11T14:26:30Z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6B58FAEAE5284963888B40B2C9F1074F_13</vt:lpwstr>
  </property>
  <property fmtid="{D5CDD505-2E9C-101B-9397-08002B2CF9AE}" pid="4" name="KSOTemplateDocerSaveRecord">
    <vt:lpwstr>eyJoZGlkIjoiMzEwNTM5NzYwMDRjMzkwZTVkZjY2ODkwMGIxNGU0OTUiLCJ1c2VySWQiOiIzMDE3NzgwOTkifQ==</vt:lpwstr>
  </property>
</Properties>
</file>