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AC37E">
      <w:pPr>
        <w:pStyle w:val="4"/>
        <w:framePr w:wrap="auto" w:vAnchor="margin" w:hAnchor="text" w:yAlign="inline"/>
        <w:rPr>
          <w:rFonts w:ascii="PingFang SC Semibold" w:hAnsi="PingFang SC Semibold" w:eastAsia="PingFang SC Semibold" w:cs="PingFang SC Semibold"/>
          <w:sz w:val="36"/>
          <w:szCs w:val="36"/>
        </w:rPr>
      </w:pPr>
      <w:r>
        <w:rPr>
          <w:rFonts w:ascii="PingFang SC Semibold" w:hAnsi="PingFang SC Semibold"/>
          <w:sz w:val="36"/>
          <w:szCs w:val="36"/>
          <w:rtl w:val="0"/>
          <w:lang w:val="de-DE"/>
        </w:rPr>
        <w:t>RU-6880</w:t>
      </w:r>
    </w:p>
    <w:p w14:paraId="122271D6">
      <w:pPr>
        <w:pStyle w:val="4"/>
        <w:framePr w:wrap="auto" w:vAnchor="margin" w:hAnchor="text" w:yAlign="inline"/>
        <w:rPr>
          <w:sz w:val="24"/>
          <w:szCs w:val="24"/>
          <w:u w:val="single"/>
        </w:rPr>
      </w:pPr>
      <w:r>
        <w:rPr>
          <w:sz w:val="24"/>
          <w:szCs w:val="24"/>
          <w:u w:val="single"/>
          <w:rtl w:val="0"/>
        </w:rPr>
        <w:t>Matte Polyurethane Resin (Polycarbonate)</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00AC4F0">
      <w:pPr>
        <w:pStyle w:val="4"/>
        <w:framePr w:wrap="auto" w:vAnchor="margin" w:hAnchor="text" w:yAlign="inline"/>
        <w:bidi w:val="0"/>
      </w:pPr>
    </w:p>
    <w:p w14:paraId="19CFE197">
      <w:pPr>
        <w:pStyle w:val="4"/>
        <w:framePr w:wrap="auto" w:vAnchor="margin" w:hAnchor="text" w:yAlign="inline"/>
        <w:rPr>
          <w:sz w:val="28"/>
          <w:szCs w:val="28"/>
        </w:rPr>
      </w:pPr>
      <w:r>
        <w:rPr>
          <w:sz w:val="28"/>
          <w:szCs w:val="28"/>
          <w:rtl w:val="0"/>
          <w:lang w:val="en-US"/>
        </w:rPr>
        <w:t>Characteristics:</w:t>
      </w:r>
    </w:p>
    <w:p w14:paraId="0B14429F">
      <w:pPr>
        <w:pStyle w:val="4"/>
        <w:framePr w:wrap="auto" w:vAnchor="margin" w:hAnchor="text" w:yAlign="inline"/>
        <w:bidi w:val="0"/>
      </w:pPr>
      <w:r>
        <w:rPr>
          <w:rtl w:val="0"/>
          <w:lang w:val="en-US"/>
        </w:rPr>
        <w:t>Aliphatic matte polyurethane dispersion</w:t>
      </w:r>
    </w:p>
    <w:p w14:paraId="16911F80">
      <w:pPr>
        <w:pStyle w:val="4"/>
        <w:framePr w:wrap="auto" w:vAnchor="margin" w:hAnchor="text" w:yAlign="inline"/>
        <w:rPr>
          <w:sz w:val="28"/>
          <w:szCs w:val="28"/>
        </w:rPr>
      </w:pPr>
    </w:p>
    <w:p w14:paraId="41D282B7">
      <w:pPr>
        <w:pStyle w:val="4"/>
        <w:framePr w:wrap="auto" w:vAnchor="margin" w:hAnchor="text" w:yAlign="inline"/>
        <w:rPr>
          <w:sz w:val="28"/>
          <w:szCs w:val="28"/>
        </w:rPr>
      </w:pPr>
      <w:r>
        <w:rPr>
          <w:sz w:val="28"/>
          <w:szCs w:val="28"/>
          <w:rtl w:val="0"/>
          <w:lang w:val="en-US"/>
        </w:rPr>
        <w:t>Application Characteristics:</w:t>
      </w:r>
    </w:p>
    <w:p w14:paraId="465EED1B">
      <w:pPr>
        <w:pStyle w:val="4"/>
        <w:framePr w:wrap="auto" w:vAnchor="margin" w:hAnchor="text" w:yAlign="inline"/>
        <w:bidi w:val="0"/>
      </w:pPr>
      <w:r>
        <w:rPr>
          <w:rtl w:val="0"/>
          <w:lang w:val="en-US"/>
        </w:rPr>
        <w:t>1. Increases abrasion resistance and scratch resistance of the finish</w:t>
      </w:r>
    </w:p>
    <w:p w14:paraId="23266347">
      <w:pPr>
        <w:pStyle w:val="4"/>
        <w:framePr w:wrap="auto" w:vAnchor="margin" w:hAnchor="text" w:yAlign="inline"/>
        <w:bidi w:val="0"/>
      </w:pPr>
      <w:r>
        <w:rPr>
          <w:rtl w:val="0"/>
          <w:lang w:val="en-US"/>
        </w:rPr>
        <w:t>2. Film is soft and elastic</w:t>
      </w:r>
    </w:p>
    <w:p w14:paraId="2CFBB6CF">
      <w:pPr>
        <w:pStyle w:val="4"/>
        <w:framePr w:wrap="auto" w:vAnchor="margin" w:hAnchor="text" w:yAlign="inline"/>
        <w:bidi w:val="0"/>
      </w:pPr>
      <w:r>
        <w:rPr>
          <w:rtl w:val="0"/>
          <w:lang w:val="en-US"/>
        </w:rPr>
        <w:t>3. Excellent mechanical operational stability and leveling</w:t>
      </w:r>
    </w:p>
    <w:p w14:paraId="37AAF7C6">
      <w:pPr>
        <w:pStyle w:val="4"/>
        <w:framePr w:wrap="auto" w:vAnchor="margin" w:hAnchor="text" w:yAlign="inline"/>
        <w:bidi w:val="0"/>
      </w:pPr>
      <w:r>
        <w:rPr>
          <w:rtl w:val="0"/>
          <w:lang w:val="en-US"/>
        </w:rPr>
        <w:t>4. Improves overall physical properties, cold resistance, hydrolysis resistance</w:t>
      </w:r>
    </w:p>
    <w:p w14:paraId="2B22A30C">
      <w:pPr>
        <w:pStyle w:val="4"/>
        <w:framePr w:wrap="auto" w:vAnchor="margin" w:hAnchor="text" w:yAlign="inline"/>
        <w:bidi w:val="0"/>
      </w:pPr>
      <w:r>
        <w:rPr>
          <w:rtl w:val="0"/>
        </w:rPr>
        <w:t xml:space="preserve">  </w:t>
      </w:r>
    </w:p>
    <w:p w14:paraId="6C6B0EB9">
      <w:pPr>
        <w:pStyle w:val="4"/>
        <w:framePr w:wrap="auto" w:vAnchor="margin" w:hAnchor="text" w:yAlign="inline"/>
        <w:rPr>
          <w:sz w:val="28"/>
          <w:szCs w:val="28"/>
        </w:rPr>
      </w:pPr>
      <w:r>
        <w:rPr>
          <w:sz w:val="28"/>
          <w:szCs w:val="28"/>
          <w:rtl w:val="0"/>
          <w:lang w:val="en-US"/>
        </w:rPr>
        <w:t>Product Characteristics:</w:t>
      </w:r>
    </w:p>
    <w:tbl>
      <w:tblPr>
        <w:tblStyle w:val="2"/>
        <w:tblW w:w="963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fixed"/>
        <w:tblCellMar>
          <w:top w:w="0" w:type="dxa"/>
          <w:left w:w="10" w:type="dxa"/>
          <w:bottom w:w="0" w:type="dxa"/>
          <w:right w:w="10" w:type="dxa"/>
        </w:tblCellMar>
      </w:tblPr>
      <w:tblGrid>
        <w:gridCol w:w="4815"/>
        <w:gridCol w:w="4815"/>
      </w:tblGrid>
      <w:tr w14:paraId="058F1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trHeight w:val="327" w:hRule="atLeast"/>
        </w:trPr>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2C00A7A9">
            <w:pPr>
              <w:pStyle w:val="4"/>
              <w:framePr w:wrap="auto" w:vAnchor="margin" w:hAnchor="text" w:yAlign="inline"/>
              <w:bidi w:val="0"/>
            </w:pPr>
            <w:r>
              <w:rPr>
                <w:rFonts w:ascii="PingFang SC Regular" w:hAnsi="PingFang SC Regular" w:eastAsia="Arial Unicode MS" w:cs="Arial Unicode MS"/>
                <w:rtl w:val="0"/>
              </w:rPr>
              <w:t>Appearance</w:t>
            </w:r>
          </w:p>
        </w:tc>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2628DCDC">
            <w:pPr>
              <w:pStyle w:val="4"/>
              <w:framePr w:wrap="auto" w:vAnchor="margin" w:hAnchor="text" w:yAlign="inline"/>
              <w:bidi w:val="0"/>
            </w:pPr>
            <w:r>
              <w:rPr>
                <w:rFonts w:ascii="PingFang SC Regular" w:hAnsi="PingFang SC Regular" w:eastAsia="Arial Unicode MS" w:cs="Arial Unicode MS"/>
                <w:rtl w:val="0"/>
              </w:rPr>
              <w:t>Milky white liquid</w:t>
            </w:r>
          </w:p>
        </w:tc>
      </w:tr>
      <w:tr w14:paraId="1FF64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trHeight w:val="327" w:hRule="atLeast"/>
        </w:trPr>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75193FC6">
            <w:pPr>
              <w:pStyle w:val="4"/>
              <w:framePr w:wrap="auto" w:vAnchor="margin" w:hAnchor="text" w:yAlign="inline"/>
              <w:bidi w:val="0"/>
            </w:pPr>
            <w:r>
              <w:rPr>
                <w:rFonts w:ascii="PingFang SC Regular" w:hAnsi="PingFang SC Regular" w:eastAsia="Arial Unicode MS" w:cs="Arial Unicode MS"/>
                <w:rtl w:val="0"/>
              </w:rPr>
              <w:t xml:space="preserve">Solid Content </w:t>
            </w:r>
          </w:p>
        </w:tc>
        <w:tc>
          <w:tcPr>
            <w:tcW w:w="4815"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3E99AE98">
            <w:pPr>
              <w:pStyle w:val="4"/>
              <w:framePr w:wrap="auto" w:vAnchor="margin" w:hAnchor="text" w:yAlign="inline"/>
              <w:bidi w:val="0"/>
            </w:pPr>
            <w:r>
              <w:rPr>
                <w:rFonts w:hint="default" w:ascii="PingFang SC Regular" w:hAnsi="PingFang SC Regular" w:eastAsia="Arial Unicode MS" w:cs="Arial Unicode MS"/>
                <w:rtl w:val="0"/>
              </w:rPr>
              <w:t>±</w:t>
            </w:r>
            <w:r>
              <w:rPr>
                <w:rFonts w:ascii="PingFang SC Regular" w:hAnsi="PingFang SC Regular" w:eastAsia="Arial Unicode MS" w:cs="Arial Unicode MS"/>
                <w:rtl w:val="0"/>
              </w:rPr>
              <w:t>35%</w:t>
            </w:r>
          </w:p>
        </w:tc>
      </w:tr>
      <w:tr w14:paraId="20198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trHeight w:val="327" w:hRule="atLeast"/>
        </w:trPr>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1F2928B7">
            <w:pPr>
              <w:pStyle w:val="4"/>
              <w:framePr w:wrap="auto" w:vAnchor="margin" w:hAnchor="text" w:yAlign="inline"/>
              <w:bidi w:val="0"/>
            </w:pPr>
            <w:r>
              <w:rPr>
                <w:rFonts w:ascii="PingFang SC Regular" w:hAnsi="PingFang SC Regular" w:eastAsia="Arial Unicode MS" w:cs="Arial Unicode MS"/>
                <w:rtl w:val="0"/>
              </w:rPr>
              <w:t>pH Value</w:t>
            </w:r>
          </w:p>
        </w:tc>
        <w:tc>
          <w:tcPr>
            <w:tcW w:w="4815"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2C0D25A4">
            <w:pPr>
              <w:pStyle w:val="4"/>
              <w:framePr w:wrap="auto" w:vAnchor="margin" w:hAnchor="text" w:yAlign="inline"/>
              <w:bidi w:val="0"/>
            </w:pPr>
            <w:r>
              <w:rPr>
                <w:rFonts w:ascii="PingFang SC Regular" w:hAnsi="PingFang SC Regular" w:eastAsia="Arial Unicode MS" w:cs="Arial Unicode MS"/>
                <w:rtl w:val="0"/>
              </w:rPr>
              <w:t>7-9</w:t>
            </w:r>
          </w:p>
        </w:tc>
      </w:tr>
    </w:tbl>
    <w:p w14:paraId="3518085A">
      <w:pPr>
        <w:pStyle w:val="4"/>
        <w:framePr w:wrap="auto" w:vAnchor="margin" w:hAnchor="text" w:yAlign="inline"/>
        <w:bidi w:val="0"/>
      </w:pPr>
    </w:p>
    <w:p w14:paraId="3EF94119">
      <w:pPr>
        <w:pStyle w:val="4"/>
        <w:framePr w:wrap="auto" w:vAnchor="margin" w:hAnchor="text" w:yAlign="inline"/>
        <w:bidi w:val="0"/>
      </w:pPr>
    </w:p>
    <w:p w14:paraId="3F22308D">
      <w:pPr>
        <w:pStyle w:val="4"/>
        <w:framePr w:wrap="auto" w:vAnchor="margin" w:hAnchor="text" w:yAlign="inline"/>
        <w:rPr>
          <w:sz w:val="28"/>
          <w:szCs w:val="28"/>
        </w:rPr>
      </w:pPr>
      <w:r>
        <w:rPr>
          <w:sz w:val="28"/>
          <w:szCs w:val="28"/>
          <w:rtl w:val="0"/>
          <w:lang w:val="en-US"/>
        </w:rPr>
        <w:t>Application Recommendations:</w:t>
      </w:r>
    </w:p>
    <w:p w14:paraId="635BBD9C">
      <w:pPr>
        <w:pStyle w:val="4"/>
        <w:framePr w:wrap="auto" w:vAnchor="margin" w:hAnchor="text" w:yAlign="inline"/>
        <w:bidi w:val="0"/>
      </w:pPr>
      <w:r>
        <w:rPr>
          <w:rtl w:val="0"/>
          <w:lang w:val="en-US"/>
        </w:rPr>
        <w:t>Can be widely used in various leathers, synthetic leather, microfiber (PU, PVC) automotive leather, furniture leather, luggage. The addition of cross-linking agents can improve physical properties.</w:t>
      </w:r>
    </w:p>
    <w:p w14:paraId="14AD0983">
      <w:pPr>
        <w:pStyle w:val="4"/>
        <w:framePr w:wrap="auto" w:vAnchor="margin" w:hAnchor="text" w:yAlign="inline"/>
        <w:bidi w:val="0"/>
      </w:pPr>
    </w:p>
    <w:p w14:paraId="5ECD57BC">
      <w:pPr>
        <w:pStyle w:val="4"/>
        <w:framePr w:wrap="auto" w:vAnchor="margin" w:hAnchor="text" w:yAlign="inline"/>
        <w:rPr>
          <w:sz w:val="28"/>
          <w:szCs w:val="28"/>
        </w:rPr>
      </w:pPr>
      <w:r>
        <w:rPr>
          <w:sz w:val="28"/>
          <w:szCs w:val="28"/>
          <w:rtl w:val="0"/>
          <w:lang w:val="en-US"/>
        </w:rPr>
        <w:t>Storage Method:</w:t>
      </w:r>
    </w:p>
    <w:p w14:paraId="53E22F18">
      <w:pPr>
        <w:pStyle w:val="4"/>
        <w:framePr w:wrap="auto" w:vAnchor="margin" w:hAnchor="text" w:yAlign="inline"/>
        <w:bidi w:val="0"/>
      </w:pPr>
      <w:r>
        <w:rPr>
          <w:rtl w:val="0"/>
          <w:lang w:val="en-US"/>
        </w:rPr>
        <w:t>Store in sealed original packaging at 5</w:t>
      </w:r>
      <w:r>
        <w:rPr>
          <w:rtl w:val="0"/>
          <w:lang w:val="it-IT"/>
        </w:rPr>
        <w:t>°</w:t>
      </w:r>
      <w:r>
        <w:rPr>
          <w:rtl w:val="0"/>
          <w:lang w:val="en-US"/>
        </w:rPr>
        <w:t>C ~ 40</w:t>
      </w:r>
      <w:r>
        <w:rPr>
          <w:rtl w:val="0"/>
          <w:lang w:val="it-IT"/>
        </w:rPr>
        <w:t>°</w:t>
      </w:r>
      <w:r>
        <w:rPr>
          <w:rtl w:val="0"/>
          <w:lang w:val="en-US"/>
        </w:rPr>
        <w:t>C for at least one year. After each use, the packaging should be resealed. Once opened, the product should be used up as soon as possible. This product must be protected from freezing. Must be mixed thoroughly before use.</w:t>
      </w:r>
    </w:p>
    <w:p w14:paraId="0D0AEEA1">
      <w:pPr>
        <w:pStyle w:val="4"/>
        <w:framePr w:wrap="auto" w:vAnchor="margin" w:hAnchor="text" w:yAlign="inline"/>
        <w:bidi w:val="0"/>
      </w:pPr>
    </w:p>
    <w:p w14:paraId="7253E1EA">
      <w:pPr>
        <w:pStyle w:val="4"/>
        <w:framePr w:wrap="auto" w:vAnchor="margin" w:hAnchor="text" w:yAlign="inline"/>
        <w:jc w:val="center"/>
        <w:rPr>
          <w:sz w:val="20"/>
          <w:szCs w:val="20"/>
        </w:rPr>
      </w:pPr>
    </w:p>
    <w:p w14:paraId="543E18A8">
      <w:pPr>
        <w:pStyle w:val="4"/>
        <w:framePr w:wrap="auto" w:vAnchor="margin" w:hAnchor="text" w:yAlign="inline"/>
        <w:jc w:val="center"/>
        <w:rPr>
          <w:sz w:val="20"/>
          <w:szCs w:val="20"/>
        </w:rPr>
      </w:pPr>
    </w:p>
    <w:p w14:paraId="573B4371">
      <w:pPr>
        <w:pStyle w:val="4"/>
        <w:framePr w:wrap="auto" w:vAnchor="margin" w:hAnchor="text" w:yAlign="inline"/>
        <w:jc w:val="center"/>
        <w:rPr>
          <w:sz w:val="20"/>
          <w:szCs w:val="20"/>
        </w:rPr>
      </w:pPr>
    </w:p>
    <w:p w14:paraId="3B7471D5">
      <w:pPr>
        <w:pStyle w:val="4"/>
        <w:framePr w:wrap="auto" w:vAnchor="margin" w:hAnchor="text" w:yAlign="inline"/>
        <w:jc w:val="center"/>
        <w:rPr>
          <w:sz w:val="20"/>
          <w:szCs w:val="20"/>
        </w:rPr>
      </w:pPr>
    </w:p>
    <w:p w14:paraId="00174EC4">
      <w:pPr>
        <w:pStyle w:val="4"/>
        <w:framePr w:wrap="auto" w:vAnchor="margin" w:hAnchor="text" w:yAlign="inline"/>
        <w:jc w:val="center"/>
        <w:rPr>
          <w:sz w:val="20"/>
          <w:szCs w:val="20"/>
        </w:rPr>
      </w:pPr>
    </w:p>
    <w:p w14:paraId="0BE241BD">
      <w:pPr>
        <w:pStyle w:val="4"/>
        <w:framePr w:wrap="auto" w:vAnchor="margin" w:hAnchor="text" w:yAlign="inline"/>
        <w:jc w:val="center"/>
        <w:rPr>
          <w:sz w:val="20"/>
          <w:szCs w:val="20"/>
        </w:rPr>
      </w:pPr>
    </w:p>
    <w:p w14:paraId="10F1E2B3">
      <w:pPr>
        <w:pStyle w:val="4"/>
        <w:framePr w:wrap="auto" w:vAnchor="margin" w:hAnchor="text" w:yAlign="inline"/>
        <w:jc w:val="center"/>
        <w:rPr>
          <w:sz w:val="20"/>
          <w:szCs w:val="20"/>
        </w:rPr>
      </w:pPr>
    </w:p>
    <w:p w14:paraId="0FE12408">
      <w:pPr>
        <w:pStyle w:val="4"/>
        <w:framePr w:wrap="auto" w:vAnchor="margin" w:hAnchor="text" w:yAlign="inline"/>
        <w:jc w:val="center"/>
        <w:rPr>
          <w:sz w:val="20"/>
          <w:szCs w:val="20"/>
        </w:rPr>
      </w:pPr>
    </w:p>
    <w:p w14:paraId="747B92E2">
      <w:pPr>
        <w:pStyle w:val="4"/>
        <w:framePr w:wrap="auto" w:vAnchor="margin" w:hAnchor="text" w:yAlign="inline"/>
        <w:jc w:val="center"/>
        <w:rPr>
          <w:sz w:val="20"/>
          <w:szCs w:val="20"/>
        </w:rPr>
      </w:pPr>
    </w:p>
    <w:p w14:paraId="2CD6B400">
      <w:pPr>
        <w:pStyle w:val="4"/>
        <w:framePr w:wrap="auto" w:vAnchor="margin" w:hAnchor="text" w:yAlign="inline"/>
        <w:jc w:val="center"/>
        <w:rPr>
          <w:sz w:val="20"/>
          <w:szCs w:val="20"/>
        </w:rPr>
      </w:pPr>
    </w:p>
    <w:p w14:paraId="1F8579E8">
      <w:pPr>
        <w:pStyle w:val="4"/>
        <w:framePr w:wrap="auto" w:vAnchor="margin" w:hAnchor="text" w:yAlign="inline"/>
        <w:jc w:val="center"/>
        <w:rPr>
          <w:sz w:val="20"/>
          <w:szCs w:val="20"/>
        </w:rPr>
      </w:pPr>
    </w:p>
    <w:p w14:paraId="182EFDE3">
      <w:pPr>
        <w:pStyle w:val="4"/>
        <w:framePr w:wrap="auto" w:vAnchor="margin" w:hAnchor="text" w:yAlign="inline"/>
        <w:jc w:val="center"/>
      </w:pPr>
      <w:r>
        <w:rPr>
          <w:sz w:val="20"/>
          <w:szCs w:val="20"/>
          <w:rtl w:val="0"/>
          <w:lang w:val="en-US"/>
        </w:rPr>
        <w:t xml:space="preserve">This technical data sheet is for reference only and does not constitute any guarantee. Please test its applicability in advance. | </w:t>
      </w:r>
      <w:r>
        <w:rPr>
          <w:color w:val="EE220C"/>
          <w:sz w:val="20"/>
          <w:szCs w:val="20"/>
          <w:rtl w:val="0"/>
        </w:rPr>
        <w:t>FAS</w:t>
      </w:r>
      <w:r>
        <w:rPr>
          <w:color w:val="EE220C"/>
          <w:sz w:val="20"/>
          <w:szCs w:val="20"/>
          <w:rtl w:val="0"/>
          <w:lang w:val="en-US"/>
        </w:rPr>
        <w:t>T</w:t>
      </w:r>
    </w:p>
    <w:p w14:paraId="15F9EC4D">
      <w:bookmarkStart w:id="0" w:name="_GoBack"/>
      <w:bookmarkEnd w:id="0"/>
    </w:p>
    <w:sectPr>
      <w:headerReference r:id="rId5" w:type="default"/>
      <w:footerReference r:id="rId6" w:type="default"/>
      <w:pgSz w:w="11906" w:h="16838"/>
      <w:pgMar w:top="1134" w:right="1134" w:bottom="1134" w:left="1134" w:header="709" w:footer="8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0000000000000000000"/>
    <w:charset w:val="86"/>
    <w:family w:val="roman"/>
    <w:pitch w:val="default"/>
    <w:sig w:usb0="00000000" w:usb1="00000000" w:usb2="00000000" w:usb3="00000000" w:csb0="00000000" w:csb1="00000000"/>
  </w:font>
  <w:font w:name="PingFang SC Regular">
    <w:altName w:val="Segoe Print"/>
    <w:panose1 w:val="00000000000000000000"/>
    <w:charset w:val="00"/>
    <w:family w:val="roman"/>
    <w:pitch w:val="default"/>
    <w:sig w:usb0="00000000" w:usb1="00000000" w:usb2="00000000" w:usb3="00000000" w:csb0="00000000" w:csb1="00000000"/>
  </w:font>
  <w:font w:name="PingFang SC Semibold">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BAA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885C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7D7047"/>
    <w:rsid w:val="397D7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1"/>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PingFang SC Regular" w:hAnsi="PingFang SC Regular" w:eastAsia="Arial Unicode MS" w:cs="Arial Unicode MS"/>
      <w:color w:val="000000"/>
      <w:spacing w:val="0"/>
      <w:w w:val="100"/>
      <w:kern w:val="0"/>
      <w:position w:val="0"/>
      <w:sz w:val="22"/>
      <w:szCs w:val="22"/>
      <w:u w:val="none" w:color="auto"/>
      <w:shd w:val="clear" w:color="auto" w:fill="auto"/>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2026-09-11T14:27:00Z</dcterms:created>
  <dc:creator>May</dc:creator>
  <cp:lastModifiedBy>May</cp:lastModifiedBy>
  <dcterms:modified xsi:type="dcterms:W3CDTF">2026-09-11T14:28:05Z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E6B3A352C56D45A3B164BAE2FFDD6EEE_11</vt:lpwstr>
  </property>
  <property fmtid="{D5CDD505-2E9C-101B-9397-08002B2CF9AE}" pid="4" name="KSOTemplateDocerSaveRecord">
    <vt:lpwstr>eyJoZGlkIjoiMzEwNTM5NzYwMDRjMzkwZTVkZjY2ODkwMGIxNGU0OTUiLCJ1c2VySWQiOiIzMDE3NzgwOTkifQ==</vt:lpwstr>
  </property>
</Properties>
</file>